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>ПРАВИТЕЛЬСТВО САНКТ-ПЕТЕРБУРГА</w:t>
      </w:r>
    </w:p>
    <w:p w:rsidR="00F36037" w:rsidRPr="00AF67B4" w:rsidRDefault="00F36037">
      <w:pPr>
        <w:pStyle w:val="Heading"/>
        <w:jc w:val="center"/>
        <w:rPr>
          <w:color w:val="000000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>ПОСТАНОВЛЕНИЕ</w:t>
      </w:r>
    </w:p>
    <w:p w:rsidR="00F36037" w:rsidRPr="00AF67B4" w:rsidRDefault="00F36037">
      <w:pPr>
        <w:pStyle w:val="Heading"/>
        <w:jc w:val="center"/>
        <w:rPr>
          <w:color w:val="000000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>от 31 января 2017 года N 40</w:t>
      </w:r>
    </w:p>
    <w:p w:rsidR="00F36037" w:rsidRPr="00AF67B4" w:rsidRDefault="00F36037">
      <w:pPr>
        <w:pStyle w:val="Heading"/>
        <w:jc w:val="center"/>
        <w:rPr>
          <w:color w:val="000000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Об утверждении Правил благоустройства территории Санкт-Петербурга в части, касающейся эстетических регламентов объектов благоустройства и элементов благоустройства 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В соответствии со статьей 5 Закона Санкт-Петербурга от 23.12.2015 N 891-180 "О благоустройстве в Санкт-Петербурге" Правительство Санкт-Петербурга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постановляет: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1. Утвердить Правила благоустройства территории Санкт-Петербурга в части, касающейся эстетических регламентов объектов благоустройства и элементов благоустройства.     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2. Внести изменение в Положение о Комитете по печати и взаимодействию со средствами массовой информации, утвержденное постановлением Правительства Санкт-Петербурга от 02.12.2003 N 44 "О Комитете по печати и взаимодействию со средствами массовой информации" (далее - Положение 1), изложив пункт 3.23-1 Положения 1 в следующей редакции: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"3.23-1. </w:t>
      </w:r>
      <w:proofErr w:type="gramStart"/>
      <w:r w:rsidRPr="00AF67B4">
        <w:rPr>
          <w:color w:val="000000"/>
          <w:sz w:val="22"/>
          <w:szCs w:val="22"/>
        </w:rPr>
        <w:t>Осуществлять полномочия органов местного самоуправления, предусмотренные в статье 19 Федерального закона "О рекламе", за исключением полномочий по утверждению Схемы размещения рекламных конструкций, определению типов и видов рекламных конструкций, допустимых и недопустимых к установке на территории Санкт-Петербурга или части его территории, в том числе требований к таким рекламным конструкциям, с учетом необходимости сохранения внешнего архитектурного облика сложившейся застройки".</w:t>
      </w:r>
      <w:proofErr w:type="gramEnd"/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3. Внести изменение в Правила содержания и ремонта фасадов зданий и сооружений в Санкт-Петербурге, утвержденные постановлением Правительства Санкт-Петербурга от 14.09.2006 N 1135 (далее - Правила), исключив разделы 2, 3, 4, 4-1, 6, 7, 8 Правил.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4. Внести в Положение о порядке взаимодействия исполнительных органов государственной власти Санкт-Петербурга при установке произведений монументального искусства в Санкт-Петербурге, утвержденное постановлением Правительства Санкт-Петербурга от 21.08.2009 N 944 "О порядке взаимодействия исполнительных органов государственной власти Санкт-Петербурга при установке произведений монументального искусства в Санкт-Петербурге" (далее - Положение 2), следующие изменения: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4.1. Абзац второй пункта 1 Положения 2 изложить в следующей редакции: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"Под произведениями монументального искусства для целей настоящего Положения понимаются памятные знаки и памятники, увековечивающие память о каком-либо событии либо выдающейся личности (далее - произведения)".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4.2. В пункте 3 Положения 2 слова "В случае если путем установки произведения предлагается </w:t>
      </w:r>
      <w:r w:rsidRPr="00AF67B4">
        <w:rPr>
          <w:color w:val="000000"/>
          <w:sz w:val="22"/>
          <w:szCs w:val="22"/>
        </w:rPr>
        <w:lastRenderedPageBreak/>
        <w:t>увековечить память о каком-либо событии либо выдающейся личности</w:t>
      </w:r>
      <w:proofErr w:type="gramStart"/>
      <w:r w:rsidRPr="00AF67B4">
        <w:rPr>
          <w:color w:val="000000"/>
          <w:sz w:val="22"/>
          <w:szCs w:val="22"/>
        </w:rPr>
        <w:t>,"</w:t>
      </w:r>
      <w:proofErr w:type="gramEnd"/>
      <w:r w:rsidRPr="00AF67B4">
        <w:rPr>
          <w:color w:val="000000"/>
          <w:sz w:val="22"/>
          <w:szCs w:val="22"/>
        </w:rPr>
        <w:t xml:space="preserve"> исключить, слова "при принятии" заменить словами "При принятии".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4.3. В абзаце седьмом пункта 8 Положения 2 слова "(в </w:t>
      </w:r>
      <w:proofErr w:type="gramStart"/>
      <w:r w:rsidRPr="00AF67B4">
        <w:rPr>
          <w:color w:val="000000"/>
          <w:sz w:val="22"/>
          <w:szCs w:val="22"/>
        </w:rPr>
        <w:t>случаях</w:t>
      </w:r>
      <w:proofErr w:type="gramEnd"/>
      <w:r w:rsidRPr="00AF67B4">
        <w:rPr>
          <w:color w:val="000000"/>
          <w:sz w:val="22"/>
          <w:szCs w:val="22"/>
        </w:rPr>
        <w:t xml:space="preserve"> если путем установки произведения предполагается увековечить память о каком-либо событии либо выдающейся личности)" исключить.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4.4. В пункте 16 Положения 2 слова "в составе работ по комплексному благоустройству Санкт-Петербурга, осуществляемых" исключить.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5. </w:t>
      </w:r>
      <w:proofErr w:type="gramStart"/>
      <w:r w:rsidRPr="00AF67B4">
        <w:rPr>
          <w:color w:val="000000"/>
          <w:sz w:val="22"/>
          <w:szCs w:val="22"/>
        </w:rPr>
        <w:t>Внести изменение в Положение о порядке взаимодействия исполнительных органов государственной власти Санкт-Петербурга при выдаче разрешений на установку или перемещение объектов для размещения информации в Санкт-Петербурге, утвержденное постановлением Правительства Санкт-Петербурга от 20.09.2012 N 1002 "О порядке взаимодействия исполнительных органов государственной власти Санкт-Петербурга при выдаче разрешений на установку или перемещение объектов для размещения информации в Санкт-Петербурге" (далее - Положение 3), изложив абзац четвертый</w:t>
      </w:r>
      <w:proofErr w:type="gramEnd"/>
      <w:r w:rsidRPr="00AF67B4">
        <w:rPr>
          <w:color w:val="000000"/>
          <w:sz w:val="22"/>
          <w:szCs w:val="22"/>
        </w:rPr>
        <w:t xml:space="preserve"> пункта 7 Положения 3 в следующей редакции: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proofErr w:type="gramStart"/>
      <w:r w:rsidRPr="00AF67B4">
        <w:rPr>
          <w:color w:val="000000"/>
          <w:sz w:val="22"/>
          <w:szCs w:val="22"/>
        </w:rPr>
        <w:t>"Комитет по градостроительству и архитектуре отказывает в согласовании, в том числе в случае, если из представленных информационных материалов следует, что установка объекта для размещения информации не соответствует требованиям к наружной информации, установленным Правилами благоустройства территории Санкт-Петербурга в части, касающейся эстетических регламентов объектов благоустройства и элементов благоустройства, и нарушает архитектурный облик Санкт-Петербурга".</w:t>
      </w:r>
      <w:proofErr w:type="gramEnd"/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6. Признать утратившими силу: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пункт 5 постановления Правительства Санкт-Петербурга от 09.11.2011 N 1546 "О внесении изменений в некоторые постановления Правительства Санкт-Петербурга";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пункт 2 постановления Правительства Санкт-Петербурга от 17.07.2013 N 501 "О внесении изменений в постановления Правительства Санкт-Петербурга от 21.12.2005 N 1958, от 14.09.2006 N 1135";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пункты 1.2-1.15 постановления Правительства Санкт-Петербурга от 13.07.2015 N 576 "О внесении изменений в постановления Правительства Санкт-Петербурга от 14.09.2006 N 1135, от 20.09.2012 N 1002".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7. </w:t>
      </w:r>
      <w:proofErr w:type="gramStart"/>
      <w:r w:rsidRPr="00AF67B4">
        <w:rPr>
          <w:color w:val="000000"/>
          <w:sz w:val="22"/>
          <w:szCs w:val="22"/>
        </w:rPr>
        <w:t>Контроль за</w:t>
      </w:r>
      <w:proofErr w:type="gramEnd"/>
      <w:r w:rsidRPr="00AF67B4">
        <w:rPr>
          <w:color w:val="000000"/>
          <w:sz w:val="22"/>
          <w:szCs w:val="22"/>
        </w:rPr>
        <w:t xml:space="preserve"> выполнением постановления возложить на вице-губернатора Санкт-Петербурга </w:t>
      </w:r>
      <w:proofErr w:type="spellStart"/>
      <w:r w:rsidRPr="00AF67B4">
        <w:rPr>
          <w:color w:val="000000"/>
          <w:sz w:val="22"/>
          <w:szCs w:val="22"/>
        </w:rPr>
        <w:t>Албина</w:t>
      </w:r>
      <w:proofErr w:type="spellEnd"/>
      <w:r w:rsidRPr="00AF67B4">
        <w:rPr>
          <w:color w:val="000000"/>
          <w:sz w:val="22"/>
          <w:szCs w:val="22"/>
        </w:rPr>
        <w:t xml:space="preserve"> И.Н.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Губернатор Санкт-Петербурга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proofErr w:type="spellStart"/>
      <w:r w:rsidRPr="00AF67B4">
        <w:rPr>
          <w:color w:val="000000"/>
          <w:sz w:val="22"/>
          <w:szCs w:val="22"/>
        </w:rPr>
        <w:t>Г.С.Полтавченко</w:t>
      </w:r>
      <w:proofErr w:type="spellEnd"/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</w:p>
    <w:p w:rsidR="00F36037" w:rsidRPr="00AF67B4" w:rsidRDefault="00F36037">
      <w:pPr>
        <w:jc w:val="both"/>
        <w:rPr>
          <w:color w:val="000000"/>
          <w:sz w:val="22"/>
          <w:szCs w:val="22"/>
        </w:rPr>
      </w:pPr>
      <w:proofErr w:type="gramStart"/>
      <w:r w:rsidRPr="00AF67B4">
        <w:rPr>
          <w:color w:val="000000"/>
          <w:sz w:val="22"/>
          <w:szCs w:val="22"/>
        </w:rPr>
        <w:t xml:space="preserve">Внесен в Реестр </w:t>
      </w:r>
      <w:proofErr w:type="gramEnd"/>
    </w:p>
    <w:p w:rsidR="00F36037" w:rsidRPr="00AF67B4" w:rsidRDefault="00F36037">
      <w:pPr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нормативных правовых актов </w:t>
      </w:r>
    </w:p>
    <w:p w:rsidR="00F36037" w:rsidRPr="00AF67B4" w:rsidRDefault="00F36037">
      <w:pPr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Санкт-Петербурга</w:t>
      </w:r>
    </w:p>
    <w:p w:rsidR="00F36037" w:rsidRPr="00AF67B4" w:rsidRDefault="00F36037">
      <w:pPr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7 февраля 2017 года</w:t>
      </w:r>
    </w:p>
    <w:p w:rsidR="00F36037" w:rsidRPr="00AF67B4" w:rsidRDefault="00F36037">
      <w:pPr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Регистрационный N 21728  </w:t>
      </w:r>
    </w:p>
    <w:p w:rsidR="00F36037" w:rsidRPr="00AF67B4" w:rsidRDefault="00F36037">
      <w:pPr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lastRenderedPageBreak/>
        <w:t>УТВЕРЖДЕНЫ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постановлением Правительства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Санкт-Петербурга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от 31.01.2017 N 40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>Правила благоустройства территории Санкт-Петербурга в части, касающейся эстетических регламентов объектов благоустройства и элементов благоустройства</w:t>
      </w:r>
    </w:p>
    <w:p w:rsidR="00F36037" w:rsidRPr="00AF67B4" w:rsidRDefault="00F36037">
      <w:pPr>
        <w:pStyle w:val="Heading"/>
        <w:jc w:val="center"/>
        <w:rPr>
          <w:color w:val="000000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1. Общие положения 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1.1. Настоящие Правила благоустройства территории Санкт-Петербурга в части, касающейся эстетических регламентов объектов благоустройства и элементов благоустройства (далее - Правила), разработаны в соответствии с Федеральным законом "Об общих принципах организации местного самоуправления в Российской Федерации", Законом Санкт-Петербурга от 23.12.2015 N 891-180 "О благоустройстве в Санкт-Петербурге".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Правила устанавливают: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Эстетический регламент декоративных, технических, конструктивных устройств в соответствии с приложением N 1 к Правилам.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Эстетический регламент планировочных устройств в соответствии с приложением N 2 к Правилам.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Эстетический регламент растительных компонентов в соответствии с приложением N 3 к Правилам.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Эстетический регламент оборудования в соответствии с приложением N 4 к Правилам.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Эстетический регламент покрытий в соответствии с приложением N 5 к Правилам.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Эстетический регламент наружной рекламы и информации в соответствии с приложением N 6 к Правилам.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Эстетический регламент иных некапитальных объектов в соответствии с приложением N 7 к Правилам.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Эстетический регламент элементов оформления, включая элементы оформления Санкт-Петербурга к мероприятиям городского, всероссийского и международного значения, в соответствии с приложением N 8 к Правилам.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 Правила обязательны для всех организаций независимо от их организационно-правовой формы и ведомственной принадлежности, индивидуальных предпринимателей, физических лиц, органов государственной власти, органов местного самоуправления внутригородских муниципальных образований Санкт-Петербурга (далее - органы местного самоуправления), осуществляющих благоустройство в Санкт-Петербурге.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1.3. Правила применяются на всей территории Санкт-Петербурга, за исключением случаев, установленных в пункте 1.4 Правил.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1.4. </w:t>
      </w:r>
      <w:proofErr w:type="gramStart"/>
      <w:r w:rsidRPr="00AF67B4">
        <w:rPr>
          <w:color w:val="000000"/>
          <w:sz w:val="22"/>
          <w:szCs w:val="22"/>
        </w:rPr>
        <w:t xml:space="preserve">Действие Правил не распространяется в отношении объектов культурного наследия в границах территорий объектов культурного наследия, а также на отношения, возникающие при разработке проектной документации для строительства и реконструкции объектов капитального строительства, при которых проводится экспертиза проектной документации, оформляется разрешение на строительство, </w:t>
      </w:r>
      <w:r w:rsidRPr="00AF67B4">
        <w:rPr>
          <w:color w:val="000000"/>
          <w:sz w:val="22"/>
          <w:szCs w:val="22"/>
        </w:rPr>
        <w:lastRenderedPageBreak/>
        <w:t>на отношения, регулируемые законодательством в области сохранения, использования, популяризации и государственной охраны объектов культурного наследия.</w:t>
      </w:r>
      <w:proofErr w:type="gramEnd"/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1.5. В Правилах используются следующие понятия: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акцент - способ выделения одного или нескольких элементов композиции через размер, форму, цвет, расположение; средство композиционной организации элементов благоустройства;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архитектурный облик Санкт-Петербурга - визуально воспринимаемая и последовательно формируемая совокупность архитектурных объектов;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архитектурно-градостроительный облик здания, сооружения - совокупность композиционных приемов и фасадных решений здания, сооружения;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proofErr w:type="spellStart"/>
      <w:r w:rsidRPr="00AF67B4">
        <w:rPr>
          <w:color w:val="000000"/>
          <w:sz w:val="22"/>
          <w:szCs w:val="22"/>
        </w:rPr>
        <w:t>бесфоновая</w:t>
      </w:r>
      <w:proofErr w:type="spellEnd"/>
      <w:r w:rsidRPr="00AF67B4">
        <w:rPr>
          <w:color w:val="000000"/>
          <w:sz w:val="22"/>
          <w:szCs w:val="22"/>
        </w:rPr>
        <w:t xml:space="preserve"> основа - прозрачная основа для крепления отдельных элементов наружной рекламы, информации на фасад здания, сооружения;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брандмауэр - огнестойкая, преимущественно глухая капитальная стена бокового или дворового фасада, проходящая через все элементы фасада, разъединяющая помещения одного здания или смежных зданий и дворов в целях </w:t>
      </w:r>
      <w:proofErr w:type="spellStart"/>
      <w:r w:rsidRPr="00AF67B4">
        <w:rPr>
          <w:color w:val="000000"/>
          <w:sz w:val="22"/>
          <w:szCs w:val="22"/>
        </w:rPr>
        <w:t>воспрепятствия</w:t>
      </w:r>
      <w:proofErr w:type="spellEnd"/>
      <w:r w:rsidRPr="00AF67B4">
        <w:rPr>
          <w:color w:val="000000"/>
          <w:sz w:val="22"/>
          <w:szCs w:val="22"/>
        </w:rPr>
        <w:t xml:space="preserve"> распространению пожара, характерна отсутствием окон и высотой, превосходящей высоту соседних построек;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бюст - произведение скульптуры (</w:t>
      </w:r>
      <w:proofErr w:type="spellStart"/>
      <w:r w:rsidRPr="00AF67B4">
        <w:rPr>
          <w:color w:val="000000"/>
          <w:sz w:val="22"/>
          <w:szCs w:val="22"/>
        </w:rPr>
        <w:t>погрудный</w:t>
      </w:r>
      <w:proofErr w:type="spellEnd"/>
      <w:r w:rsidRPr="00AF67B4">
        <w:rPr>
          <w:color w:val="000000"/>
          <w:sz w:val="22"/>
          <w:szCs w:val="22"/>
        </w:rPr>
        <w:t xml:space="preserve"> портрет или поясной портрет) в виде изображения головы и верхней части тела человека;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витрина - остекленный архитектурный проем, поверхность фасада здания, сооружения, </w:t>
      </w:r>
      <w:proofErr w:type="spellStart"/>
      <w:r w:rsidRPr="00AF67B4">
        <w:rPr>
          <w:color w:val="000000"/>
          <w:sz w:val="22"/>
          <w:szCs w:val="22"/>
        </w:rPr>
        <w:t>светопрозрачная</w:t>
      </w:r>
      <w:proofErr w:type="spellEnd"/>
      <w:r w:rsidRPr="00AF67B4">
        <w:rPr>
          <w:color w:val="000000"/>
          <w:sz w:val="22"/>
          <w:szCs w:val="22"/>
        </w:rPr>
        <w:t xml:space="preserve"> часть которых выполнена преимущественно без переплетов, и (или) </w:t>
      </w:r>
      <w:proofErr w:type="gramStart"/>
      <w:r w:rsidRPr="00AF67B4">
        <w:rPr>
          <w:color w:val="000000"/>
          <w:sz w:val="22"/>
          <w:szCs w:val="22"/>
        </w:rPr>
        <w:t>выполняющая</w:t>
      </w:r>
      <w:proofErr w:type="gramEnd"/>
      <w:r w:rsidRPr="00AF67B4">
        <w:rPr>
          <w:color w:val="000000"/>
          <w:sz w:val="22"/>
          <w:szCs w:val="22"/>
        </w:rPr>
        <w:t xml:space="preserve"> в том числе функцию экспозиции товаров и услуг для информирования (рекламы) об их содержании и особенностях потребления покупателями;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вывески - объекты для размещения информации о фирменном наименовании (наименовании) организации, месте ее нахождения (адресе) и режиме ее работы;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выделенный горизонтальный архитектурный пояс - гладкая поверхность стены фасада между этажами здания, сооружения, в границах которой устанавливается наружная информация;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высотные характеристики здания, сооружения - высота здания, сооружения, его частей, включая нефункциональные элементы и тип кровли (решение по ее устройству);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гармония - сочетание основных характеристик объектов благоустройства и элементов благоустройства в целях достижения целостности композиции;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гарнитура шрифта - совокупность шрифтов, отличающихся по размеру, начертанию, соотношению размера высоты прописных и строчных знаков, величине верхних и нижних выносных элементов, плотности, но объединенных общностью рисунка и имеющих определенное название;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городская скульптура - произведение скульптуры, имеющее обобщенный характер в виде фигуры человека, животного, иных объектов, установленное на самостоятельной опоре на земельном участке или территории;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динамика - композиционный прием расположения элементов и их частей, создающий визуальное ощущение движения;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заинтересованное лицо - орган государственной власти, орган местного самоуправления, физическое и юридическое лица, в чьих интересах осуществляется проектирование благоустройства и размещение </w:t>
      </w:r>
      <w:r w:rsidRPr="00AF67B4">
        <w:rPr>
          <w:color w:val="000000"/>
          <w:sz w:val="22"/>
          <w:szCs w:val="22"/>
        </w:rPr>
        <w:lastRenderedPageBreak/>
        <w:t>элементов благоустройства, приемка работ по размещению элементов благоустройства либо уполномоченный ими на основании доверенности или договора представитель;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интерлиньяж - вертикальный междустрочный интервал, расстояние между нижними базовыми линиями соседних строк;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информационное поле - конструктивная часть наружной информации и рекламы (объектов для размещения информации, рекламных конструкций), предназначенная непосредственно для размещения информации. Площадь информационного поля объекта (величина) исчисляется произведением </w:t>
      </w:r>
      <w:proofErr w:type="gramStart"/>
      <w:r w:rsidRPr="00AF67B4">
        <w:rPr>
          <w:color w:val="000000"/>
          <w:sz w:val="22"/>
          <w:szCs w:val="22"/>
        </w:rPr>
        <w:t>высоты</w:t>
      </w:r>
      <w:proofErr w:type="gramEnd"/>
      <w:r w:rsidRPr="00AF67B4">
        <w:rPr>
          <w:color w:val="000000"/>
          <w:sz w:val="22"/>
          <w:szCs w:val="22"/>
        </w:rPr>
        <w:t xml:space="preserve"> и длины данной конструктивной части. Информационное поле может иметь различную структуру в зависимости от типа конструктивного решения элемента благоустройства;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информационные доски - элементы в виде табличек с максимальной площадью не более 0,5 </w:t>
      </w:r>
      <w:proofErr w:type="spellStart"/>
      <w:r w:rsidRPr="00AF67B4">
        <w:rPr>
          <w:color w:val="000000"/>
          <w:sz w:val="22"/>
          <w:szCs w:val="22"/>
        </w:rPr>
        <w:t>кв</w:t>
      </w:r>
      <w:proofErr w:type="gramStart"/>
      <w:r w:rsidRPr="00AF67B4">
        <w:rPr>
          <w:color w:val="000000"/>
          <w:sz w:val="22"/>
          <w:szCs w:val="22"/>
        </w:rPr>
        <w:t>.м</w:t>
      </w:r>
      <w:proofErr w:type="spellEnd"/>
      <w:proofErr w:type="gramEnd"/>
      <w:r w:rsidRPr="00AF67B4">
        <w:rPr>
          <w:color w:val="000000"/>
          <w:sz w:val="22"/>
          <w:szCs w:val="22"/>
        </w:rPr>
        <w:t>, размещаемых на поверхности стены при входе в здание или сооружение, занимаемое заинтересованным лицом, и предназначенных для размещения сведений информационного характера об официальном наименовании заинтересованного лица, указанном в учредительных документах, режиме работы и месте нахождения;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историко-топонимическая связь - факты, события, связывающие выдающуюся личность или событие с конкретным адресом объекта благоустройства или прилегающей территории;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карниз - горизонтальный выступающий элемент фасада, часть фасадного решения объекта;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карниз венчающий - горизонтальный выступающий элемент фасада, поддерживающий крышу здания, сооружения;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карниз промежуточный - карниз, разделяющий этажи здания, сооружения;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квадр-участок плоскости фасада здания, сооружения, который обрамлен или разделен рустами;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кернинг - избирательное изменение интервала между буквами в зависимости от их формы в целях улучшения внешнего вида, удобочитаемости текста и обеспечения равномерности визуальной плотности текста;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колер - цвет объекта благоустройства (фасада) и элементов благоустройства, определяемый по цветовым системам NCS, RAL или аналог;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композиция - система расположения частей элемента благоустройства, объекта благоустройства, имеющая функциональную и образную основу;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композиционная ось - условная линия, определяющая взаимосвязанное и последовательное расположение элементов благоустройства на поверхности и в пространстве; средство композиционной организации элементов благоустройства;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композиционный прием - взаимосвязанное и последовательное расположение частей и элементов здания, сооружения, объекта благоустройства;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контраст - композиционный прием, использующий противоположные свойства элементов и их частей в целях усиления их визуального восприятия;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масштабность - пропорциональное соотношение, соразмерность всех элементов благоустройства между собой в горизонтальных, вертикальных и объемных параметрах в целях достижения композиционного единства элементов;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лаконичность - композиционный прием, использующий минимальное количество составных элементов и их частей для создания элемента благоустройства или объекта благоустройства;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материалы фасада здания, сооружения - материалы, применяемые для оформления и отделки фасадов;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мемориальная доска - государственный памятный знак в виде плиты из долговечных, </w:t>
      </w:r>
      <w:proofErr w:type="spellStart"/>
      <w:r w:rsidRPr="00AF67B4">
        <w:rPr>
          <w:color w:val="000000"/>
          <w:sz w:val="22"/>
          <w:szCs w:val="22"/>
        </w:rPr>
        <w:t>вандалоустойчивых</w:t>
      </w:r>
      <w:proofErr w:type="spellEnd"/>
      <w:r w:rsidRPr="00AF67B4">
        <w:rPr>
          <w:color w:val="000000"/>
          <w:sz w:val="22"/>
          <w:szCs w:val="22"/>
        </w:rPr>
        <w:t xml:space="preserve"> материалов (гранит, бронза и иные натуральные и композитные каменные материалы и сплавы металлов) с высеченными на ней текстами и (или) портретными изображениями и декоративными элементами, устанавливаемый на фасаде здания;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меню - объект для размещения информации, содержащий сведения об ассортименте блюд, напитков и иных продуктов питания, предлагаемых при предоставлении услуг общественного питания, в том числе с указанием их массы/объема и цены, иных характеристик, размещаемый на поверхности стены при входе в здание или сооружение, занимаемое заинтересованным лицом;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proofErr w:type="gramStart"/>
      <w:r w:rsidRPr="00AF67B4">
        <w:rPr>
          <w:color w:val="000000"/>
          <w:sz w:val="22"/>
          <w:szCs w:val="22"/>
        </w:rPr>
        <w:t>мозаика - изображение, размещенное на фасаде архитектурного объекта (здания, сооружения), имеющее обобщенный характер, выполненное в технике "мозаика", подразумевающей формирование изображения посредством компоновки, набора и закрепления на поверхности камней, смальты, керамических плиток, иных долговечных материалов;</w:t>
      </w:r>
      <w:proofErr w:type="gramEnd"/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монументальное искусство - вид пространственного искусства, включающий масштабные произведения, имеющие общественно значимое, идейное, памятное, декоративное содержание;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начертание шрифта - каждое видоизменение наборного шрифта, входящего в состав одной гарнитуры. </w:t>
      </w:r>
      <w:proofErr w:type="gramStart"/>
      <w:r w:rsidRPr="00AF67B4">
        <w:rPr>
          <w:color w:val="000000"/>
          <w:sz w:val="22"/>
          <w:szCs w:val="22"/>
        </w:rPr>
        <w:t>Начертания шрифта различаются по плотности - узкое, нормальное, широкое; по насыщенности - светлое, полужирное, жирное; по наклону - прямое, курсивное;</w:t>
      </w:r>
      <w:proofErr w:type="gramEnd"/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обелиск - произведение скульптуры в виде квадратного в сечении столба, сужающегося к верху, с высеченными на нем текстами или изображениями;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обобщение - качество композиции, исключающее в ней элементы, обозначающие несущественные с точки зрения отображаемой информации детали изображаемых объектов;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памятник - произведение скульптуры в виде статуи, бюста или композиции</w:t>
      </w:r>
      <w:proofErr w:type="gramStart"/>
      <w:r w:rsidRPr="00AF67B4">
        <w:rPr>
          <w:color w:val="000000"/>
          <w:sz w:val="22"/>
          <w:szCs w:val="22"/>
        </w:rPr>
        <w:t>.</w:t>
      </w:r>
      <w:proofErr w:type="gramEnd"/>
      <w:r w:rsidRPr="00AF67B4">
        <w:rPr>
          <w:color w:val="000000"/>
          <w:sz w:val="22"/>
          <w:szCs w:val="22"/>
        </w:rPr>
        <w:t xml:space="preserve"> </w:t>
      </w:r>
      <w:proofErr w:type="gramStart"/>
      <w:r w:rsidRPr="00AF67B4">
        <w:rPr>
          <w:color w:val="000000"/>
          <w:sz w:val="22"/>
          <w:szCs w:val="22"/>
        </w:rPr>
        <w:t>у</w:t>
      </w:r>
      <w:proofErr w:type="gramEnd"/>
      <w:r w:rsidRPr="00AF67B4">
        <w:rPr>
          <w:color w:val="000000"/>
          <w:sz w:val="22"/>
          <w:szCs w:val="22"/>
        </w:rPr>
        <w:t>становленное на самостоятельной опоре (постаменте, пьедестале) на земельном участке, обладающее мемориальным характером;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памятный знак - произведение скульптуры в виде стелы, обелиска, триумфальной арки, триумфальной колонны, мемориальной доски, символичной композиции, установленное на фасаде, земельном участке, обладающее мемориальным характером;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proofErr w:type="gramStart"/>
      <w:r w:rsidRPr="00AF67B4">
        <w:rPr>
          <w:color w:val="000000"/>
          <w:sz w:val="22"/>
          <w:szCs w:val="22"/>
        </w:rPr>
        <w:t>пластика, пластичность - визуальная выразительность объема, формы, объекта, элемента, выраженная в мягком связном переходе от одной формы, объема к другой, от одного объекта, элемента к другому, в создании целостного, единого образа;</w:t>
      </w:r>
      <w:proofErr w:type="gramEnd"/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портал - архитектурно оформленный главный вход здания, </w:t>
      </w:r>
      <w:proofErr w:type="gramStart"/>
      <w:r w:rsidRPr="00AF67B4">
        <w:rPr>
          <w:color w:val="000000"/>
          <w:sz w:val="22"/>
          <w:szCs w:val="22"/>
        </w:rPr>
        <w:t>имеющий</w:t>
      </w:r>
      <w:proofErr w:type="gramEnd"/>
      <w:r w:rsidRPr="00AF67B4">
        <w:rPr>
          <w:color w:val="000000"/>
          <w:sz w:val="22"/>
          <w:szCs w:val="22"/>
        </w:rPr>
        <w:t xml:space="preserve"> в том числе оформление наличниками, карнизом, фронтоном, пилястрами, колоннами;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ритмическая организация - композиционный прием, состоящий в последовательном чередовании или повторении различных элементов в определенном порядке;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роспись - изображение на фасаде здания, сооружения, имеющее обобщенный характер, выполненное в технике "живопись", посредством нанесения красок на поверхность;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рустовка - рельефная кладка стен или отделка фасада здания, строения, сооружения рустами (камнями с грубоколотой или выпуклой лицевой поверхностью или их имитация);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lastRenderedPageBreak/>
        <w:t>силуэт - очертания, внешний контур, абрис формы;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симметрия - композиционный прием, предусматривающий расположение элементов и их частей зеркально относительно композиционных осей;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статуя - произведение скульптуры в виде изображения целой фигуры человека;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стела - произведение скульптуры в виде плиты или столба с высеченными на ней (нем) текстами или изображениями;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стилевые характеристики - принадлежность здания, сооружения, объекта благоустройства к архитектурному стилю;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триумфальная арка - произведение скульптуры, представляющее собой масштабную арку, оформленную символичными и декоративными элементами;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триумфальная колонна - произведение скульптуры, представляющее собой колонну, оформленную символичными и декоративными элементами;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указатели - объекты для размещения информации о направлении движения и расстоянии с максимальной площадью информационного поля не более 1 </w:t>
      </w:r>
      <w:proofErr w:type="spellStart"/>
      <w:r w:rsidRPr="00AF67B4">
        <w:rPr>
          <w:color w:val="000000"/>
          <w:sz w:val="22"/>
          <w:szCs w:val="22"/>
        </w:rPr>
        <w:t>кв</w:t>
      </w:r>
      <w:proofErr w:type="gramStart"/>
      <w:r w:rsidRPr="00AF67B4">
        <w:rPr>
          <w:color w:val="000000"/>
          <w:sz w:val="22"/>
          <w:szCs w:val="22"/>
        </w:rPr>
        <w:t>.м</w:t>
      </w:r>
      <w:proofErr w:type="spellEnd"/>
      <w:proofErr w:type="gramEnd"/>
      <w:r w:rsidRPr="00AF67B4">
        <w:rPr>
          <w:color w:val="000000"/>
          <w:sz w:val="22"/>
          <w:szCs w:val="22"/>
        </w:rPr>
        <w:t>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указатели настенные - указатели, информационное поле которых расположено параллельно к поверхности стены;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указатели настенные блочные - указатели, информационное поле которых расположено параллельно к поверхности стены и состоит из нескольких односторонних модульных блоков, объединенных между собой единым архитектурно-художественным оформлением;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унификация - приведение различных видов объектов, элементов к единообразному ряду типоразмеров, форм, свойств;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фасадные решения здания, сооружения, некапитальных объектов - решения, определяющие высотные характеристики, материалы фасада, его членение и стилевые характеристики;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фоновая основа - непрозрачная основа для крепления отдельных элементов наружной рекламы, информации на фасады зданий, сооружений;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фронтальный обзор - способ визуального восприятия объектов, элементов благоустройства с одной или нескольких видовых точек, в заданном направлении, в секторах, равных 140 градусам;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членение фасада здания, сооружения - сочетание вертикальных и горизонтальных элементов фасада, соотношение проемов и простенков, влияющие на визуальное восприятие фасада.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1.6. Иные понятия, используемые в Правилах, используются в значениях, установленных законодательством Российской Федерации и законодательством Санкт-Петербурга.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AF67B4" w:rsidRDefault="00AF67B4">
      <w:pPr>
        <w:ind w:firstLine="225"/>
        <w:jc w:val="both"/>
        <w:rPr>
          <w:color w:val="000000"/>
          <w:sz w:val="22"/>
          <w:szCs w:val="22"/>
        </w:rPr>
      </w:pPr>
    </w:p>
    <w:p w:rsidR="00AF67B4" w:rsidRDefault="00AF67B4">
      <w:pPr>
        <w:ind w:firstLine="225"/>
        <w:jc w:val="both"/>
        <w:rPr>
          <w:color w:val="000000"/>
          <w:sz w:val="22"/>
          <w:szCs w:val="22"/>
        </w:rPr>
      </w:pPr>
    </w:p>
    <w:p w:rsidR="00AF67B4" w:rsidRDefault="00AF67B4">
      <w:pPr>
        <w:ind w:firstLine="225"/>
        <w:jc w:val="both"/>
        <w:rPr>
          <w:color w:val="000000"/>
          <w:sz w:val="22"/>
          <w:szCs w:val="22"/>
        </w:rPr>
      </w:pPr>
    </w:p>
    <w:p w:rsidR="00AF67B4" w:rsidRDefault="00AF67B4">
      <w:pPr>
        <w:ind w:firstLine="225"/>
        <w:jc w:val="both"/>
        <w:rPr>
          <w:color w:val="000000"/>
          <w:sz w:val="22"/>
          <w:szCs w:val="22"/>
        </w:rPr>
      </w:pPr>
    </w:p>
    <w:p w:rsidR="00AF67B4" w:rsidRPr="00AF67B4" w:rsidRDefault="00AF67B4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lastRenderedPageBreak/>
        <w:t>Приложение N 1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 Правилам благоустройства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территории Санкт-Петербурга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в части, касающейся </w:t>
      </w:r>
      <w:proofErr w:type="gramStart"/>
      <w:r w:rsidRPr="00AF67B4">
        <w:rPr>
          <w:color w:val="000000"/>
          <w:sz w:val="22"/>
          <w:szCs w:val="22"/>
        </w:rPr>
        <w:t>эстетических</w:t>
      </w:r>
      <w:proofErr w:type="gramEnd"/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регламентов объектов благоустройства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и элементов благоустройства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>Эстетический регламент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>декоративных, технических, конструктивных устройств</w:t>
      </w:r>
    </w:p>
    <w:p w:rsidR="00F36037" w:rsidRPr="00AF67B4" w:rsidRDefault="00F36037">
      <w:pPr>
        <w:pStyle w:val="Heading"/>
        <w:jc w:val="center"/>
        <w:rPr>
          <w:color w:val="000000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1. </w:t>
      </w:r>
      <w:proofErr w:type="gramStart"/>
      <w:r w:rsidRPr="00AF67B4">
        <w:rPr>
          <w:color w:val="000000"/>
        </w:rPr>
        <w:t xml:space="preserve">Требования к внешнему виду и размещению архитектурных деталей и конструктивных элементов фасадов, включая цоколь, стилобат, карниз, архитрав, фриз, пояс, </w:t>
      </w:r>
      <w:proofErr w:type="spellStart"/>
      <w:r w:rsidRPr="00AF67B4">
        <w:rPr>
          <w:color w:val="000000"/>
        </w:rPr>
        <w:t>сандрик</w:t>
      </w:r>
      <w:proofErr w:type="spellEnd"/>
      <w:r w:rsidRPr="00AF67B4">
        <w:rPr>
          <w:color w:val="000000"/>
        </w:rPr>
        <w:t>, парапет, выступы, колонны, пилястры, пилоны, столбы, полуколонны, анты, кариатиды, атланты, лопатки, балконы, лоджии, эркеры, фронтон, аркада, портик, колоннады, портал, окна, витрины, входы, входные группы, элементы входов и входных групп (включая архитектурный проем, дверные конструкции, пандус, навес, козырек, лестницу, ступени, ограждение</w:t>
      </w:r>
      <w:proofErr w:type="gramEnd"/>
      <w:r w:rsidRPr="00AF67B4">
        <w:rPr>
          <w:color w:val="000000"/>
        </w:rPr>
        <w:t xml:space="preserve">, приямок), ворота 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1.1. Цветовое решение архитектурных деталей и конструктивных элементов фасадов определяется колерным бланком фасада здания, сооружения.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 Изменение цветового решения архитектурных деталей и конструктивных элементов фасадов осуществляется: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1.2.1. На основе сочетаний основных, составных и дополнительных цветов.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1.2.2. С учетом стилевых характеристик объекта благоустройства.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1.2.3. С учетом цветового решения и стилевых характеристик окружающих его архитектурных объектов, при этом цветовое решение объектов культурного наследия является приоритетным.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1.3. Запрещается фрагментарная окраска, облицовка архитектурных деталей и конструктивных элементов фасадов.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1.4 Размещение и внешний вид архитектурных деталей и конструктивных элементов фасадов определяется в соответствии с фасадными решениями и композиционными приемами здания, сооружения.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1.5. Входы, входные группы и их элементы: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1.5.1. Изменение глубины откосов архитектурного проема допускается на толщину стены при устройстве ступеней в толщине стены.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1.5.2. Размещение входов и входных групп в помещения подвального и цокольного этажей разрешается с учетом входов и входных групп первого этажа, сохранения подземных коммуникаций и сооружений, обеспечения ширины свободного прохода не менее 1,5 м при отсутствии препятствия </w:t>
      </w:r>
      <w:r w:rsidRPr="00AF67B4">
        <w:rPr>
          <w:color w:val="000000"/>
          <w:sz w:val="22"/>
          <w:szCs w:val="22"/>
        </w:rPr>
        <w:lastRenderedPageBreak/>
        <w:t>движению пешеходов и транспорта без нарушения фасадных решений и композиционных приемов здания, сооружения.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1.5.3. Размещение входов и входных групп, расположенных выше первого этажа, разрешается только на дворовых фасадах в случаях, предусмотренных требованиями противопожарной безопасности. Входы, расположенные выше первого этажа, не должны нарушать фасадные решения и композиционные приемы здания, сооружения.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1.5.4. Запрещается изменение внешнего вида парадных входов (порталов) и парадных входных групп.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1.5.5. Запрещается предусматривать окраску, облицовку откосов и наличников, фрагментарную окраску поверхности фасада, облицовку участка фасада вокруг входа и входной группы, не соответствующую колеру и отделке фасада.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1.5.6. Обязательным элементом приямка является его ограждение с устройством бордюра, а также устройство организованного водостока.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1.5.7. При перепаде уровней высоты более 0,4 м обязательным является размещение ограждения. Внешний вид ограждений на фасаде должен соответствовать фасадным решениям и композиционным приемам здания, сооружения, другим элементам </w:t>
      </w:r>
      <w:proofErr w:type="spellStart"/>
      <w:r w:rsidRPr="00AF67B4">
        <w:rPr>
          <w:color w:val="000000"/>
          <w:sz w:val="22"/>
          <w:szCs w:val="22"/>
        </w:rPr>
        <w:t>металлодекора</w:t>
      </w:r>
      <w:proofErr w:type="spellEnd"/>
      <w:r w:rsidRPr="00AF67B4">
        <w:rPr>
          <w:color w:val="000000"/>
          <w:sz w:val="22"/>
          <w:szCs w:val="22"/>
        </w:rPr>
        <w:t xml:space="preserve"> и оборудования. Устройство глухих ограждений запрещается, если это не обосновано архитектурно-градостроительным обликом здания, сооружения.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1.5.8. Размещение входов и входных групп в Центральном, Василеостровском, Адмиралтейском, Петроградском районах Санкт-Петербурга, количество ступеней которых более трех, запрещается, за исключением случаев, когда иное количество ступеней обусловлено архитектурно-градостроительным обликом здания, сооружения.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1.5.9. Ширина свободного прохода при размещении входов и входных групп обеспечивается не менее 1,5 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1.5.10. Ступени, лестницы, облицовка поверхностей крылец и приямков выполняются в увязке, в том числе по цвету и фактуре, с материалами отделки цоколя фасада.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1.5.11. Поверхность ступеней проектируется шероховатой не допускающей скольжения в любое время года. Использование материалов и конструкций, представляющих опасность для людей, включая облицовку глазурованной плиткой, полированным камнем, запрещается.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1.5.12. При устройстве освещения входов учитывается имеющаяся система архитектурно-художественной подсветки фасада.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1.6. Балконы, лоджии: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1.6.1. Фрагментарная замена сплошного остекления фасада разрешается при сохранении внешнего </w:t>
      </w:r>
      <w:r w:rsidRPr="00AF67B4">
        <w:rPr>
          <w:color w:val="000000"/>
          <w:sz w:val="22"/>
          <w:szCs w:val="22"/>
        </w:rPr>
        <w:lastRenderedPageBreak/>
        <w:t>вида конструкции остекления и цветового решения.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1.6.2. Остекление единичных </w:t>
      </w:r>
      <w:proofErr w:type="spellStart"/>
      <w:r w:rsidRPr="00AF67B4">
        <w:rPr>
          <w:color w:val="000000"/>
          <w:sz w:val="22"/>
          <w:szCs w:val="22"/>
        </w:rPr>
        <w:t>несгруппированных</w:t>
      </w:r>
      <w:proofErr w:type="spellEnd"/>
      <w:r w:rsidRPr="00AF67B4">
        <w:rPr>
          <w:color w:val="000000"/>
          <w:sz w:val="22"/>
          <w:szCs w:val="22"/>
        </w:rPr>
        <w:t xml:space="preserve"> балконов запрещается.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1.7. Окна и витрины: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1.7.1. Размещение окон на глухих стенах и брандмауэрах разрешается только при наличии обоснований необходимости их устройства требованиями действующего законодательства по инсоляции помещений.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1.7.2. Размещение витрин на брандмауэрах запрещается.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1.7.3. Локальное изменение глубины откосов, архитектурного оформления проема не разрешается.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1.7.4. Окна и витрины оборудуются системами водоотвода.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1.7.5. Размещение декоративных ограждений витрин разрешается при высоте нижней границы проема менее 0,8 м от уровня земли. Высота ограждения витрины от поверхности тротуара должна составлять не более 1,0 м, расстояние от поверхности фасада - не более 0,5 м (при отсутствии приямка).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1.7.6. Размещение устройства глухих ограждений витрин запрещено.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1.7.7. Размещение приямков разрешается для окон подвального этажа, расположенных ниже уровня тротуара, на расстоянии не более 0,8 м от поверхности фасада с учетом минимальной ширины свободного прохода 1,5 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1.7.8. При размещении приямка обязательным является его ограждение в виде каменного бордюра с металлическим ограждением высотой 0,4 м, а также устройство организованного водостока.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1.7.9. Закладка окон, витрин разрешается при сохранении ниши в габаритах архитектурного проема с сохранением глубины откосов либо с последующей отделкой участка фасада в соответствии с фасадными решениями.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1.7.10. Размещение окон на фасаде здания, сооружения разрешается в плоскости фасада, за исключением окон, имеющих техническое назначение (слуховые окна).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2. Требования к внешнему виду и размещению аттракционов 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2.1. Внешний вид аттракционов определяется в соответствии с общей тематикой благоустройства территории, земельного участка.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lastRenderedPageBreak/>
        <w:t>2.2. Запрещается размещение аттракционов на газонном покрытии, за исключением случаев, когда вид покрытия для размещения аттракционов установлен требованиями действующего законодательства.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3. Требования к внешнему виду и размещению водных устройств, включая фонтаны, фонтанные комплексы, питьевые фонтанчики, бюветы 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3.1. Внешний вид водных устройств выполняется в соответствии со стилистикой окружающих архитектурных объектов и элементов благоустройства.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4. Требования к внешнему виду и размещению ограждений, включая ограждение декоративное, ограждение газонное, ограждение техническое, шлагбаум, парапет, полусферу, надолбы, приствольную решетку 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4.1. Размещение глухих ограждений запрещается, за исключением случаев обеспечения требований безопасности, предусмотренных действующим законодательством.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4.2. Цвет ограждений - черный, серый, коричневый, зеленый, за исключением ограждений объектов благоустройства - фасадов, строительных площадок, спортивных площадок и случаев, когда цвет установлен требованиями действующего законодательства.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4.3. Высота ограждений определяется правилами благоустройства, нормативными техническими актами и заданием.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4.4. Внешний вид и цвет ограждений выполняется в соответствии со стилистикой окружающих архитектурных объектов и элементов благоустройства.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4.5. Размещение ограждений разрешается с учетом планировки объекта благоустройства и их функционального назначения.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5. Требования к внешнему виду и размещению опор, в том числе опор стационарного электрического освещения, опор контактной сети 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5.1. Запрещается размещение опор на пешеходных коммуникациях без обеспечения ширины свободного прохода не менее 1,5 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5.2. Внешний вид и дизайн опор должны соответствовать уровню современных высокотехнологичных решений.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5.3. Материалы и технологии должны обеспечивать высокие эстетические и эксплуатационные качества опор, а также длительный срок работы с учетом климатических особенностей Санкт-Петербурга.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lastRenderedPageBreak/>
        <w:t>5.4. Внешний вид, цветовое решение опор и конструкций, их крепления определяются с учетом цветового решения и стилевых характеристик окружающих его архитектурных объектов и элементов благоустройства.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5.5. В границах объекта благоустройства внешний вид опор должен иметь единое стилистическое решение.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5.6. Размещение опор разрешается с учетом планировки объекта благоустройства и их функционального назначения.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6. Требования к внешнему виду и размещению произведений монументального искусства, за исключением памятников и памятных знаков 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6.1. Размещение произведений монументального искусства разрешается с учетом планировки объекта благоустройства, стилевых характеристик окружающих архитектурных объектов.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6.2. Размещение произведений монументального искусства разрешается при обеспечении кругового или фронтального обзора с видовых точек, выявленных в ходе ландшафтного анализа объекта благоустройства.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6.3. Размещение произведений монументального искусства запрещается: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в местах, препятствующих движению пешеходов и транспорта;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в местах, ухудшающих видимость знаков дорожного движения.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6.4. Размещение росписей, рисунков, мозаик не допускается на лицевых фасадах зданий, сооружений, за исключением случаев, когда указанное размещение обусловлено архитектурно-градостроительным обликом объекта благоустройства.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6.5. При размещении произведений монументального искусства, за исключением мемориальных досок на фасадах, обязательными элементами благоустройства территории их размещения являются покрытия, растительные компоненты, урны, устройства наружного освещения и подсветки.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6.6. Произведения монументального искусства выполняются из долговечных, </w:t>
      </w:r>
      <w:proofErr w:type="spellStart"/>
      <w:r w:rsidRPr="00AF67B4">
        <w:rPr>
          <w:color w:val="000000"/>
          <w:sz w:val="22"/>
          <w:szCs w:val="22"/>
        </w:rPr>
        <w:t>вандалоустойчивых</w:t>
      </w:r>
      <w:proofErr w:type="spellEnd"/>
      <w:r w:rsidRPr="00AF67B4">
        <w:rPr>
          <w:color w:val="000000"/>
          <w:sz w:val="22"/>
          <w:szCs w:val="22"/>
        </w:rPr>
        <w:t xml:space="preserve"> материалов (гранит, бронза и иные натуральные и композитные каменные материалы и сплавы металлов).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7. </w:t>
      </w:r>
      <w:proofErr w:type="gramStart"/>
      <w:r w:rsidRPr="00AF67B4">
        <w:rPr>
          <w:color w:val="000000"/>
        </w:rPr>
        <w:t xml:space="preserve">Требования к внешнему виду и размещению элементов декора фасадов зданий, сооружений, включая барельефы, горельефы, скульптуры, розетки, русты, наличники, тяги оконные, подоконные плиты, оконные и дверные обрамления, </w:t>
      </w:r>
      <w:proofErr w:type="spellStart"/>
      <w:r w:rsidRPr="00AF67B4">
        <w:rPr>
          <w:color w:val="000000"/>
        </w:rPr>
        <w:t>металлодекор</w:t>
      </w:r>
      <w:proofErr w:type="spellEnd"/>
      <w:r w:rsidRPr="00AF67B4">
        <w:rPr>
          <w:color w:val="000000"/>
        </w:rPr>
        <w:t>, отделку фасадов (штукатурка, облицовка, окраска)</w:t>
      </w:r>
      <w:proofErr w:type="gramEnd"/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lastRenderedPageBreak/>
        <w:t>7.1. Цветовое решение элементов декора фасадов определяется колерным бланком фасада здания, сооружения.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7.2. Изменение цветового решения элементов декора фасадов осуществляется: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7.2.1. На основе сочетаний основных, составных и дополнительных цветов.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7.2.2. С учетом стилевых характеристик объекта благоустройства.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7.2.3. С учетом цветового решения и стилевых характеристик окружающих его архитектурных объектов, при этом цветовое решение объектов культурного наследия является приоритетным.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7.3. Запрещается фрагментарная окраска, облицовка элементов декора фасадов.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7.4 Размещение и внешний вид элементов декора фасадов определяется в соответствии с фасадными решениями и композиционными приемами здания, сооружения.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>8. Требования к внешнему виду и размещению устрой</w:t>
      </w:r>
      <w:proofErr w:type="gramStart"/>
      <w:r w:rsidRPr="00AF67B4">
        <w:rPr>
          <w:color w:val="000000"/>
        </w:rPr>
        <w:t>ств дл</w:t>
      </w:r>
      <w:proofErr w:type="gramEnd"/>
      <w:r w:rsidRPr="00AF67B4">
        <w:rPr>
          <w:color w:val="000000"/>
        </w:rPr>
        <w:t xml:space="preserve">я вертикального озеленения и цветочного оформления, включая шпалеры, трельяжи, </w:t>
      </w:r>
      <w:proofErr w:type="spellStart"/>
      <w:r w:rsidRPr="00AF67B4">
        <w:rPr>
          <w:color w:val="000000"/>
        </w:rPr>
        <w:t>перголы</w:t>
      </w:r>
      <w:proofErr w:type="spellEnd"/>
      <w:r w:rsidRPr="00AF67B4">
        <w:rPr>
          <w:color w:val="000000"/>
        </w:rPr>
        <w:t xml:space="preserve">, вазоны, цветочницы 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8.1. Внешний вид устрой</w:t>
      </w:r>
      <w:proofErr w:type="gramStart"/>
      <w:r w:rsidRPr="00AF67B4">
        <w:rPr>
          <w:color w:val="000000"/>
          <w:sz w:val="22"/>
          <w:szCs w:val="22"/>
        </w:rPr>
        <w:t>ств дл</w:t>
      </w:r>
      <w:proofErr w:type="gramEnd"/>
      <w:r w:rsidRPr="00AF67B4">
        <w:rPr>
          <w:color w:val="000000"/>
          <w:sz w:val="22"/>
          <w:szCs w:val="22"/>
        </w:rPr>
        <w:t>я вертикального озеленения и цветочного оформления выполняется в соответствии со стилистикой окружающих архитектурных объектов и элементов благоустройства.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8.2. Размещение устрой</w:t>
      </w:r>
      <w:proofErr w:type="gramStart"/>
      <w:r w:rsidRPr="00AF67B4">
        <w:rPr>
          <w:color w:val="000000"/>
          <w:sz w:val="22"/>
          <w:szCs w:val="22"/>
        </w:rPr>
        <w:t>ств дл</w:t>
      </w:r>
      <w:proofErr w:type="gramEnd"/>
      <w:r w:rsidRPr="00AF67B4">
        <w:rPr>
          <w:color w:val="000000"/>
          <w:sz w:val="22"/>
          <w:szCs w:val="22"/>
        </w:rPr>
        <w:t>я вертикального озеленения и цветочного оформления разрешается с учетом планировки объекта благоустройства и их функционального назначения.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8.3. Запрещается размещение устрой</w:t>
      </w:r>
      <w:proofErr w:type="gramStart"/>
      <w:r w:rsidRPr="00AF67B4">
        <w:rPr>
          <w:color w:val="000000"/>
          <w:sz w:val="22"/>
          <w:szCs w:val="22"/>
        </w:rPr>
        <w:t>ств дл</w:t>
      </w:r>
      <w:proofErr w:type="gramEnd"/>
      <w:r w:rsidRPr="00AF67B4">
        <w:rPr>
          <w:color w:val="000000"/>
          <w:sz w:val="22"/>
          <w:szCs w:val="22"/>
        </w:rPr>
        <w:t>я вертикального озеленения и цветочного оформления на пешеходных коммуникациях без обеспечения ширины свободного прохода не менее 1,5 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9. Требования к внешнему виду и размещению устройств наружного освещения и подсветки 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9.1. На зданиях жилой застройки разрешается применение локального (без попадания подсвечивающих лучей в жилые окна) и карнизного способов освещения без использования общего заливного света.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9.2. При решении постоянной подсветки объектов благоустройства запрещается: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нарушение архитектурно-градостроительного облика здания, сооружения;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lastRenderedPageBreak/>
        <w:t>визуальная деформация объекта благоустройства, разрушение архитектурной целостности формы;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локальное высвечивание отдельных частей объектов благоустройства;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образование неосвещенных частей объекта благоустройства в его архитектурно-пространственном окружении;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применение динамичного режима подсветки при решении подсветки объектов благоустройства в повседневных целях.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9.3. При формировании </w:t>
      </w:r>
      <w:proofErr w:type="gramStart"/>
      <w:r w:rsidRPr="00AF67B4">
        <w:rPr>
          <w:color w:val="000000"/>
          <w:sz w:val="22"/>
          <w:szCs w:val="22"/>
        </w:rPr>
        <w:t>свето-цветового</w:t>
      </w:r>
      <w:proofErr w:type="gramEnd"/>
      <w:r w:rsidRPr="00AF67B4">
        <w:rPr>
          <w:color w:val="000000"/>
          <w:sz w:val="22"/>
          <w:szCs w:val="22"/>
        </w:rPr>
        <w:t xml:space="preserve"> образа объекта благоустройства недопустимо: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необоснованное изменение цветовых характеристик объекта;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создание цветовой дисгармонии.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9.4. Требованиями к цвету постоянной подсветки объекта благоустройства являются: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максимальное приближение к точной цветопередаче;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применение в отдельных случаях светового окрашивания;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использование нейтрального, приближенного к </w:t>
      </w:r>
      <w:proofErr w:type="gramStart"/>
      <w:r w:rsidRPr="00AF67B4">
        <w:rPr>
          <w:color w:val="000000"/>
          <w:sz w:val="22"/>
          <w:szCs w:val="22"/>
        </w:rPr>
        <w:t>дневному</w:t>
      </w:r>
      <w:proofErr w:type="gramEnd"/>
      <w:r w:rsidRPr="00AF67B4">
        <w:rPr>
          <w:color w:val="000000"/>
          <w:sz w:val="22"/>
          <w:szCs w:val="22"/>
        </w:rPr>
        <w:t xml:space="preserve"> цвета света.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9.5. Разрешается локальный способ подсветки входов в здания и сооружения с использованием скрытого или малозаметного оборудования, не создающего дополнительных световых акцентов.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9.6. Размещение устройств наружного освещения и подсветки фасадов осуществляется: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9.6.1. На поверхности фасада здания, сооружения, свободной от архитектурных деталей и элементов декора, за исключением отделки.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9.6.2. На опорах фонарей, оградах, низких пристройках, кровле, асфальтовом и газонном покрытии.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9.7. Запрещается размещение устройств наружного освещения и подсветки: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9.7.1. На деревьях, за исключением случаев временного размещения праздничной подсветки.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9.7.2. На постаменте, являющемся неотъемлемой частью произведения монументального искусства.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AF67B4" w:rsidRDefault="00AF67B4">
      <w:pPr>
        <w:ind w:firstLine="225"/>
        <w:jc w:val="both"/>
        <w:rPr>
          <w:color w:val="000000"/>
          <w:sz w:val="22"/>
          <w:szCs w:val="22"/>
        </w:rPr>
      </w:pPr>
    </w:p>
    <w:p w:rsidR="00AF67B4" w:rsidRDefault="00AF67B4">
      <w:pPr>
        <w:ind w:firstLine="225"/>
        <w:jc w:val="both"/>
        <w:rPr>
          <w:color w:val="000000"/>
          <w:sz w:val="22"/>
          <w:szCs w:val="22"/>
        </w:rPr>
      </w:pPr>
    </w:p>
    <w:p w:rsidR="00AF67B4" w:rsidRDefault="00AF67B4">
      <w:pPr>
        <w:ind w:firstLine="225"/>
        <w:jc w:val="both"/>
        <w:rPr>
          <w:color w:val="000000"/>
          <w:sz w:val="22"/>
          <w:szCs w:val="22"/>
        </w:rPr>
      </w:pPr>
    </w:p>
    <w:p w:rsidR="00AF67B4" w:rsidRPr="00AF67B4" w:rsidRDefault="00AF67B4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lastRenderedPageBreak/>
        <w:t>Приложение N 2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 Правилам благоустройства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территории Санкт-Петербурга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в части, касающейся </w:t>
      </w:r>
      <w:proofErr w:type="gramStart"/>
      <w:r w:rsidRPr="00AF67B4">
        <w:rPr>
          <w:color w:val="000000"/>
          <w:sz w:val="22"/>
          <w:szCs w:val="22"/>
        </w:rPr>
        <w:t>эстетических</w:t>
      </w:r>
      <w:proofErr w:type="gramEnd"/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регламентов объектов благоустройства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и элементов благоустройства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>Эстетический регламент планировочных устройств</w:t>
      </w:r>
    </w:p>
    <w:p w:rsidR="00F36037" w:rsidRPr="00AF67B4" w:rsidRDefault="00F36037">
      <w:pPr>
        <w:pStyle w:val="Heading"/>
        <w:jc w:val="center"/>
        <w:rPr>
          <w:color w:val="000000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1. </w:t>
      </w:r>
      <w:proofErr w:type="gramStart"/>
      <w:r w:rsidRPr="00AF67B4">
        <w:rPr>
          <w:color w:val="000000"/>
        </w:rPr>
        <w:t>Требовании</w:t>
      </w:r>
      <w:proofErr w:type="gramEnd"/>
      <w:r w:rsidRPr="00AF67B4">
        <w:rPr>
          <w:color w:val="000000"/>
        </w:rPr>
        <w:t xml:space="preserve"> к внешнему виду и размещению планировочных устройств 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1.1. Внешний вид планировочных устройств выполняется в соответствии с их функциональным назначением.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 Размещение планировочных устройств разрешается с учетом планировки объекта благоустройства и их функционального назначения.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Приложение N 3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 Правилам благоустройства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территории Санкт-Петербурга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в части, касающейся </w:t>
      </w:r>
      <w:proofErr w:type="gramStart"/>
      <w:r w:rsidRPr="00AF67B4">
        <w:rPr>
          <w:color w:val="000000"/>
          <w:sz w:val="22"/>
          <w:szCs w:val="22"/>
        </w:rPr>
        <w:t>эстетических</w:t>
      </w:r>
      <w:proofErr w:type="gramEnd"/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регламентов объектов благоустройства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и элементов благоустройства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>Эстетический регламент растительных компонентов</w:t>
      </w:r>
    </w:p>
    <w:p w:rsidR="00F36037" w:rsidRPr="00AF67B4" w:rsidRDefault="00F36037">
      <w:pPr>
        <w:pStyle w:val="Heading"/>
        <w:jc w:val="center"/>
        <w:rPr>
          <w:color w:val="000000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1. Требования к внешнему виду и размещению деревьев, кустарников, травянистых растений, лиан, цветов 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1.1. Размещение растительных компонентов осуществляется с учетом сохранения подземных коммуникаций и сооружений.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 Размещение растительных компонентов разрешается с учетом планировки объекта благоустройства и их функционального назначения.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Приложение N 4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 Правилам благоустройства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территории Санкт-Петербурга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в части, касающейся </w:t>
      </w:r>
      <w:proofErr w:type="gramStart"/>
      <w:r w:rsidRPr="00AF67B4">
        <w:rPr>
          <w:color w:val="000000"/>
          <w:sz w:val="22"/>
          <w:szCs w:val="22"/>
        </w:rPr>
        <w:t>эстетических</w:t>
      </w:r>
      <w:proofErr w:type="gramEnd"/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регламентов объектов благоустройства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и элементов благоустройства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>Эстетический регламент оборудования</w:t>
      </w:r>
    </w:p>
    <w:p w:rsidR="00F36037" w:rsidRPr="00AF67B4" w:rsidRDefault="00F36037">
      <w:pPr>
        <w:pStyle w:val="Heading"/>
        <w:jc w:val="center"/>
        <w:rPr>
          <w:color w:val="000000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1. </w:t>
      </w:r>
      <w:proofErr w:type="gramStart"/>
      <w:r w:rsidRPr="00AF67B4">
        <w:rPr>
          <w:color w:val="000000"/>
        </w:rPr>
        <w:t xml:space="preserve">Требования к внешнему виду и размещению уличной мебели (включая скамьи, скамейки-качели, диваны, столы, качели, софы) часов, почтовых ящиков </w:t>
      </w:r>
      <w:proofErr w:type="gramEnd"/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1.1. Запрещается размещение уличной мебели на растительных компонентах.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 Запрещается размещение уличной мебели, препятствующее свободному проходу и проезду.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1.3. Внешний вид уличной мебели выполняется в соответствии с ее функциональным назначением.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1.4. Внешний вид и цвет уличной мебели выполняется в соответствии со стилистикой окружающих архитектурных объектов и элементов благоустройства.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1.5. Размещение уличной мебели разрешается с учетом планировки объекта благоустройства и ее функционального назначения.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1.6. Размещение часов допускается: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1.6.1. Перпендикулярно фасаду здания, сооружения, на уровне первого и второго этажей на угловых участках фасада, в пределах "треугольника видимости", у границы сопряжения соседних фасадов, на расстоянии не менее 5 м от других элементов благоустройства, размещаемых перпендикулярно фасаду здания, сооружения и выступающих элементов фасада (эркеров, балконов).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1.6.2. Над входом или рядом с входом в здание.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1.6.3. В увязке с осями простенков, в соответствии с вертикальной координацией размещения элементов благоустройства, размещаемых перпендикулярно фасаду здания, сооружения, в соответствии с архитектурно-градостроительным обликом здания, сооружения.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2. </w:t>
      </w:r>
      <w:proofErr w:type="gramStart"/>
      <w:r w:rsidRPr="00AF67B4">
        <w:rPr>
          <w:color w:val="000000"/>
        </w:rPr>
        <w:t>Требования к внешнему виду и размещению детского игрового оборудования (включая качели, горки, качалки, карусели, песочницы, детские игровые комплексы, городки, песочные дворики, теневые навесы, счеты, домики, лабиринты)</w:t>
      </w:r>
      <w:proofErr w:type="gramEnd"/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2.1. Запрещается размещение детского игрового оборудования на газонном покрытии, за исключением специально созданного для его размещения, а также асфальтовом покрытии.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2.2. Запрещается размещение детского игрового оборудования, препятствующего свободному проходу и проезду.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2.3. Внешний вид детского игрового оборудования выполняется в соответствии с его функциональным назначением.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3. </w:t>
      </w:r>
      <w:proofErr w:type="gramStart"/>
      <w:r w:rsidRPr="00AF67B4">
        <w:rPr>
          <w:color w:val="000000"/>
        </w:rPr>
        <w:t xml:space="preserve">Требования к внешнему виду и размещению спортивного оборудования (включай бревно, канат, перекладину, баскетбольный щит, стол для настольного тенниса, тренажеры, турники, </w:t>
      </w:r>
      <w:r w:rsidRPr="00AF67B4">
        <w:rPr>
          <w:color w:val="000000"/>
        </w:rPr>
        <w:lastRenderedPageBreak/>
        <w:t xml:space="preserve">брусья, гимнастическую стенку, гимнастический комплекс, скамью с упором, спортивную трибуну, стенку для </w:t>
      </w:r>
      <w:proofErr w:type="spellStart"/>
      <w:r w:rsidRPr="00AF67B4">
        <w:rPr>
          <w:color w:val="000000"/>
        </w:rPr>
        <w:t>перелезания</w:t>
      </w:r>
      <w:proofErr w:type="spellEnd"/>
      <w:r w:rsidRPr="00AF67B4">
        <w:rPr>
          <w:color w:val="000000"/>
        </w:rPr>
        <w:t xml:space="preserve">, детский спортивный комплекс, комплекс спортивного оборудования, спираль, </w:t>
      </w:r>
      <w:proofErr w:type="spellStart"/>
      <w:r w:rsidRPr="00AF67B4">
        <w:rPr>
          <w:color w:val="000000"/>
        </w:rPr>
        <w:t>рукоход</w:t>
      </w:r>
      <w:proofErr w:type="spellEnd"/>
      <w:r w:rsidRPr="00AF67B4">
        <w:rPr>
          <w:color w:val="000000"/>
        </w:rPr>
        <w:t>, лиану, сетку "Пирамида", спортивные ворота, рампу, рельс)</w:t>
      </w:r>
      <w:proofErr w:type="gramEnd"/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3.1. Размещение спортивного оборудования осуществляется на площадках, предназначенных для его размещения, на основании норм, установленных нормативными техническими актами.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3.2. Запрещается размещение спортивного оборудования, препятствующего свободному проходу и проезду.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3.3. Внешний вид спортивного оборудования выполняется в соответствии с его функциональным назначением.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>4. Требования к внешнему виду и размещению инженерного и технического оборудования фасадов зданий, сооружений (включая наружные блоки систем кондиционирования и вентиляции, вентиляционные трубопроводы, вентиляционные решетки, декоративные решетки, антенны (не являющиеся сооружением), видеокамеры наружного наблюдения, водосточные трубы, маркизы, защитные решетки)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4.1. Цветовое решение водосточных и вентиляционных труб должно соответствовать основному колеру фасада, если иные требования не установлены действующим законодательством.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4.2. Конструкция крепления инженерного и технического оборудования должна предусматривать минимальный контакт с поверхностью фасада, группировку ряда элементов на общей несущей основе и технологичность крепежа.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4.3. Размещение инженерного и технического оборудования на фасаде должно носить комплексное решение и предусматривать минимальный выход технических устройств на поверхность фасада.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4.4. Запрещается размещение инженерного и технического оборудования над тротуарами, на лицевых фасадах, кроме размещения в скрытых для визуального восприятия местах, за исключением водосточных труб, видеокамер наружного наблюдения, оборудования для обеспечения движения городского пассажирского электротранспорта, освещения территории Санкт-Петербурга, кабельных линий, </w:t>
      </w:r>
      <w:proofErr w:type="spellStart"/>
      <w:r w:rsidRPr="00AF67B4">
        <w:rPr>
          <w:color w:val="000000"/>
          <w:sz w:val="22"/>
          <w:szCs w:val="22"/>
        </w:rPr>
        <w:t>пристенных</w:t>
      </w:r>
      <w:proofErr w:type="spellEnd"/>
      <w:r w:rsidRPr="00AF67B4">
        <w:rPr>
          <w:color w:val="000000"/>
          <w:sz w:val="22"/>
          <w:szCs w:val="22"/>
        </w:rPr>
        <w:t xml:space="preserve"> электрощитов, громкоговорителей.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4.5. Запрещается размещение инженерного и технического оборудования фасадов на архитектурных деталях, элементах декора фасада, за исключением отделки фасада и внутренних поверхностей балконов и лоджий.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4.6. Размещение систем кондиционирования и вентиляции без наружного блока с подачей воздуха через отверстие в стене диаметром до 0,20 м разрешается на всех фасадах без разработки проекта устройства архитектурного проема.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lastRenderedPageBreak/>
        <w:t>4.7. Размещение вентиляционных трубопроводов на поверхностях дворовых фасадов разрешается в нишах, за архитектурными выступами, не затрагивающими основную поверхность фасада, с учетом размещения иных элементов благоустройства.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4.8. На доминантах, разновысотных завершениях зданий, сооружений, башнях, куполах, на парапетах, ограждениях кровли размещение инженерного и технического оборудования фасадов запрещается, за исключением случаев его размещения в скрытых для визуального восприятия местах.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4.9. При размещении маркиз над окнами и витринами первого этажа зданий и сооружений высоту нижней кромки маркиз от поверхности тротуара разрешается предусматривать не менее 2,5 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4.10. Маркизы размещаются по контуру архитектурного проема в соответствии с его габаритами, а в случае размещения на балконе в границах балкона.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4.11. При размещении маркиз запрещается перекрытие знаков адресации, знаков дорожного движения, указателей остановочных пунктов движения общественного транспорта, городской ориентирующей информации.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4.12. Размещение маркиз на архитектурных деталях, элементах декора, на разной высоте в пределах фасада запрещается.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4.13. Размещение маркиз над входами и входными группами запрещается.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4.14. Наружное размещение защитных решеток на лицевых фасадах запрещено, за исключением нежилых помещений подвального этажа.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4.15. Наружные защитные устройства на входах размещаются в границах дверного проема за плоскостью фасада.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4.16. При размещении защитных устройств запрещается изменение архитектурных деталей, элементов декора фасада.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4.17. Запрещается размещение инженерного и технического оборудования на вентиляционных дымоходах.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4.18. Размещение наружных блоков систем кондиционирования и вентиляции разрешается с привязкой по вертикальной оси простенка.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4.19. Размещение декоративных экранов разрешается на фасадах в границах ниш, выступов.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5. </w:t>
      </w:r>
      <w:proofErr w:type="gramStart"/>
      <w:r w:rsidRPr="00AF67B4">
        <w:rPr>
          <w:color w:val="000000"/>
        </w:rPr>
        <w:t>Требовании</w:t>
      </w:r>
      <w:proofErr w:type="gramEnd"/>
      <w:r w:rsidRPr="00AF67B4">
        <w:rPr>
          <w:color w:val="000000"/>
        </w:rPr>
        <w:t xml:space="preserve"> к внешнему виду и размещению коммунально-бытового оборудования (включая контейнеры, урны, наземные блоки систем кондиционирования и вентиляции), системы отвода поверхностных и дренажных вод (за исключением объектов мелиоративной системы)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5.1. Запрещается размещение коммунально-бытового оборудования на газонном покрытии.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5.2. Запрещается размещение коммунально-бытового оборудования, препятствующего свободному проходу и проезду.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5.3. Внешний вид коммунально-бытового оборудования выполняется в соответствии с его функциональным назначением.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5.4. Типовой внешний вид контейнеров установлен в приложении N 1 к настоящему Эстетическому регламенту оборудования.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5.5. Типовой внешний вид объекта благоустройства для размещения контейнеров для накопления отходов установлен в приложении N 2 к настоящему Эстетическому регламенту оборудования.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5.6. Разрешается использование внешнего вида контейнеров и объектов благоустройства для размещения контейнеров отличного от типового внешнего вида, установленного в приложениях N 1 и N 2 к настоящему Эстетическому регламенту.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Приложение N 1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 Эстетическому регламенту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оборудования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Раздел 1. Типовой внешний вид контейнеров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    </w:t>
      </w:r>
    </w:p>
    <w:p w:rsidR="00F36037" w:rsidRPr="00AF67B4" w:rsidRDefault="00F42829">
      <w:pPr>
        <w:jc w:val="center"/>
        <w:rPr>
          <w:color w:val="000000"/>
          <w:sz w:val="22"/>
          <w:szCs w:val="22"/>
        </w:rPr>
      </w:pPr>
      <w:r w:rsidRPr="00AF67B4">
        <w:rPr>
          <w:noProof/>
          <w:color w:val="000000"/>
          <w:sz w:val="22"/>
          <w:szCs w:val="22"/>
        </w:rPr>
        <w:drawing>
          <wp:inline distT="0" distB="0" distL="0" distR="0" wp14:anchorId="37A002C8" wp14:editId="10978E99">
            <wp:extent cx="5017316" cy="33738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504" cy="337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Раздел 2. Типовой внешний вид контейнеров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</w:t>
      </w:r>
    </w:p>
    <w:p w:rsidR="00F36037" w:rsidRPr="00AF67B4" w:rsidRDefault="00F42829">
      <w:pPr>
        <w:jc w:val="center"/>
        <w:rPr>
          <w:color w:val="000000"/>
          <w:sz w:val="22"/>
          <w:szCs w:val="22"/>
        </w:rPr>
      </w:pPr>
      <w:r w:rsidRPr="00AF67B4">
        <w:rPr>
          <w:noProof/>
          <w:color w:val="000000"/>
          <w:sz w:val="22"/>
          <w:szCs w:val="22"/>
        </w:rPr>
        <w:drawing>
          <wp:inline distT="0" distB="0" distL="0" distR="0" wp14:anchorId="21463231" wp14:editId="1D003488">
            <wp:extent cx="6369269" cy="34943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80" cy="349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Приложение N 2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 Эстетическому регламенту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оборудования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Типовой внешний вид объекта благоустройства для размещения контейнеров для накопления отходов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</w:t>
      </w:r>
    </w:p>
    <w:p w:rsidR="00F36037" w:rsidRPr="00AF67B4" w:rsidRDefault="00F42829">
      <w:pPr>
        <w:jc w:val="center"/>
        <w:rPr>
          <w:color w:val="000000"/>
          <w:sz w:val="22"/>
          <w:szCs w:val="22"/>
        </w:rPr>
      </w:pPr>
      <w:r w:rsidRPr="00AF67B4">
        <w:rPr>
          <w:noProof/>
          <w:color w:val="000000"/>
          <w:sz w:val="22"/>
          <w:szCs w:val="22"/>
        </w:rPr>
        <w:drawing>
          <wp:inline distT="0" distB="0" distL="0" distR="0" wp14:anchorId="2BEBF7C2" wp14:editId="168CA9B7">
            <wp:extent cx="5675586" cy="3075307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386" cy="307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Приложение N 5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 Правилам благоустройства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территории Санкт-Петербурга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в части, касающейся </w:t>
      </w:r>
      <w:proofErr w:type="gramStart"/>
      <w:r w:rsidRPr="00AF67B4">
        <w:rPr>
          <w:color w:val="000000"/>
          <w:sz w:val="22"/>
          <w:szCs w:val="22"/>
        </w:rPr>
        <w:t>эстетических</w:t>
      </w:r>
      <w:proofErr w:type="gramEnd"/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регламентов объектов благоустройства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и элементов благоустройства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>Эстетический регламент покрытий</w:t>
      </w:r>
    </w:p>
    <w:p w:rsidR="00F36037" w:rsidRPr="00AF67B4" w:rsidRDefault="00F36037">
      <w:pPr>
        <w:pStyle w:val="Heading"/>
        <w:jc w:val="center"/>
        <w:rPr>
          <w:color w:val="000000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1. Требования к внешнему виду и размещению грунтового покрытия, газонного покрытия, асфальтового покрытия, мощения, полимерного покрытия, щебеночного покрытия, песчано-гравийного покрытия, плиточного покрытия 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1.1. </w:t>
      </w:r>
      <w:proofErr w:type="gramStart"/>
      <w:r w:rsidRPr="00AF67B4">
        <w:rPr>
          <w:color w:val="000000"/>
          <w:sz w:val="22"/>
          <w:szCs w:val="22"/>
        </w:rPr>
        <w:t>На объекте благоустройства (территории, земельном участке) запрещается наличие участков без грунтового покрытия, газонного покрытия, асфальтового покрытия, мощения, полимерного покрытия, щебеночного покрытия, песчано-гравийного покрытия, плиточного покрытия.</w:t>
      </w:r>
      <w:proofErr w:type="gramEnd"/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 Цветовое решение и материал покрытий выполняется в соответствии с назначением, цветовым решением и стилевыми характеристиками окружающих архитектурных объектов, объектов благоустройства, при этом цветовое решение и стилевые характеристики объектов культурного наследия являются приоритетным.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Приложение N 6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 Правилам благоустройства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территории Санкт-Петербурга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в части, касающейся </w:t>
      </w:r>
      <w:proofErr w:type="gramStart"/>
      <w:r w:rsidRPr="00AF67B4">
        <w:rPr>
          <w:color w:val="000000"/>
          <w:sz w:val="22"/>
          <w:szCs w:val="22"/>
        </w:rPr>
        <w:t>эстетических</w:t>
      </w:r>
      <w:proofErr w:type="gramEnd"/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регламентов объектов благоустройства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и элементов благоустройства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>Эстетический регламент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>наружной рекламы и информации</w:t>
      </w:r>
    </w:p>
    <w:p w:rsidR="00F36037" w:rsidRPr="00AF67B4" w:rsidRDefault="00F36037">
      <w:pPr>
        <w:pStyle w:val="Heading"/>
        <w:jc w:val="center"/>
        <w:rPr>
          <w:color w:val="000000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1. Требования к внешнему виду и размещению наружной информации (объектов для размещения информации), включая вывески, указатели, меню, пилоны автозаправочных станций, пилоны </w:t>
      </w:r>
      <w:proofErr w:type="spellStart"/>
      <w:r w:rsidRPr="00AF67B4">
        <w:rPr>
          <w:color w:val="000000"/>
        </w:rPr>
        <w:t>автодиллеров</w:t>
      </w:r>
      <w:proofErr w:type="spellEnd"/>
      <w:r w:rsidRPr="00AF67B4">
        <w:rPr>
          <w:color w:val="000000"/>
        </w:rPr>
        <w:t xml:space="preserve">, информационные щиты и стенды, знаки адресации 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1.1. Общие требования к размещению вывесок, указателей, меню.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1.1.1. Вывески размещаются: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параллельно фасаду здания, сооружения в границах занимаемого заинтересованным лицом помещения (далее - настенные вывески);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параллельно фасаду здания, сооружения вне границ занимаемого заинтересованным лицом помещения, в пределах фасада здания, сооружения, в котором расположено помещение, занимаемое заинтересованным лицом (далее - отнесенные вывески);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перпендикулярно фасаду здания, сооружения (далее - консольные вывески);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lastRenderedPageBreak/>
        <w:t>в витринах зданий, сооружений (далее - вывески в витринах);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на крышах зданий, сооружений над венчающим карнизом, в уровнях кровли или над ней (далее - вывески на крышах).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1.1.2. Указатели размещаются: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параллельно фасаду здания, сооружения в границах занимаемого заинтересованным лицом помещения (далее - настенные указатели);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перпендикулярно фасаду здания, сооружения в пределах фасада здания, сооружения, в котором расположено помещение, занимаемое заинтересованным лицом (далее - консольные указатели).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1.1.3. Меню размещается параллельно фасаду здания, сооружения, в границах занимаемого заинтересованным лицом помещения (далее - меню).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1.1.4. Не допускается размещения вывесок, указателей, меню на фасадах в границах жилых помещений, а также в уровне выше второго </w:t>
      </w:r>
      <w:proofErr w:type="gramStart"/>
      <w:r w:rsidRPr="00AF67B4">
        <w:rPr>
          <w:color w:val="000000"/>
          <w:sz w:val="22"/>
          <w:szCs w:val="22"/>
        </w:rPr>
        <w:t>этажа</w:t>
      </w:r>
      <w:proofErr w:type="gramEnd"/>
      <w:r w:rsidRPr="00AF67B4">
        <w:rPr>
          <w:color w:val="000000"/>
          <w:sz w:val="22"/>
          <w:szCs w:val="22"/>
        </w:rPr>
        <w:t xml:space="preserve"> в случае если помещение, принадлежащее заинтересованному лицу, расположено в многоквартирном доме.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1.1.5. Размещение вывесок, указателей, меню разрешается в уровне не выше второго этажа, на боковых фасадах и брандмауэрах многоквартирных домов в случае, если помещение, принадлежащее заинтересованному лицу, выходит на указанные фасады и брандмауэры.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Действие пункта 1.1.2 настоящего приложения не распространяется на вывески на крышах.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1.1.6. Не допускается размещения вывесок, указателей, меню: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с выступом за боковые пределы фасада здания, сооружения, за исключением консольных вывесок;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без соблюдения архитектурных членений фасада;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с креплением на архитектурных деталях и элементах декора фасадов зданий, сооружений;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на козырьках;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в композиции исторических порталов, если это не предусмотрено </w:t>
      </w:r>
      <w:proofErr w:type="gramStart"/>
      <w:r w:rsidRPr="00AF67B4">
        <w:rPr>
          <w:color w:val="000000"/>
          <w:sz w:val="22"/>
          <w:szCs w:val="22"/>
        </w:rPr>
        <w:t>архитектурным решением</w:t>
      </w:r>
      <w:proofErr w:type="gramEnd"/>
      <w:r w:rsidRPr="00AF67B4">
        <w:rPr>
          <w:color w:val="000000"/>
          <w:sz w:val="22"/>
          <w:szCs w:val="22"/>
        </w:rPr>
        <w:t xml:space="preserve"> фасада;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над арочными проемами;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в поле оконных и дверных проемов с изменением их конфигурации;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на воротах, оградах, в том числе с креплением на ограждения витрин, приямков и на защитные решетки окон;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на крышах некапитальных объектов, в том числе нестационарных торговых объектов, за исключением случаев, когда на указанных объектах имеется выделенное архитектурное поле;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на расстоянии более 0,3 м от стены;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на фасадах многоквартирных домов в уровне выше второго этажа;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на расстоянии </w:t>
      </w:r>
      <w:proofErr w:type="gramStart"/>
      <w:r w:rsidRPr="00AF67B4">
        <w:rPr>
          <w:color w:val="000000"/>
          <w:sz w:val="22"/>
          <w:szCs w:val="22"/>
        </w:rPr>
        <w:t>ближе</w:t>
      </w:r>
      <w:proofErr w:type="gramEnd"/>
      <w:r w:rsidRPr="00AF67B4">
        <w:rPr>
          <w:color w:val="000000"/>
          <w:sz w:val="22"/>
          <w:szCs w:val="22"/>
        </w:rPr>
        <w:t xml:space="preserve"> чем 2 м от мемориальных досок;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на опорах стационарного электрического освещения, опорах контактной сети.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 Общие требования к внешнему виду вывесок, указателей, меню: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1.2.1. Внешний вид вывесок, указателей, меню состоит из следующих характеристик: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объемно-пространственное решение: количество элементов, их габариты;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композиционно-графическое решение, в том числе: цветовое решение, стилистическое решение, шрифтовая композиция;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конструктивное решение: несущая конструкция, информационное поле, способ крепления к фасаду, устройство подсветки и электрооборудования.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1.2.2.1. Внешний вид вывесок, указателей, меню должен соответствовать: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архитектурно-градостроительному облику здания, сооружения;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иным элементам благоустройства, размещенным на фасаде здания, сооружения.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1.2.2.2. Внешний вид вывесок, указателей, меню должен формироваться с использованием: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пропорционального соотношения площади информации (изображения) по отношению к площади информационного поля;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средств гармонизации формы (принципы симметрии, ритм) и средств художественной выразительности (контраст, динамика, масштабность).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1.2.2. </w:t>
      </w:r>
      <w:proofErr w:type="gramStart"/>
      <w:r w:rsidRPr="00AF67B4">
        <w:rPr>
          <w:color w:val="000000"/>
          <w:sz w:val="22"/>
          <w:szCs w:val="22"/>
        </w:rPr>
        <w:t>Габариты (высота, ширина, толщина) вывесок, указателей, меню определяются по крайним точкам всех элементов, входящих в состав вывески, указателя, меню.</w:t>
      </w:r>
      <w:proofErr w:type="gramEnd"/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1.2.3. Композиционно-графическое решение вывесок, указателей, меню должно соответствовать требованиям лаконичности, обобщенности, унификации.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1.2.4. Цветовое решение вывесок, указателей, меню включает в себя: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цветовое решение информационного поля вывесок, указателей, меню (в том числе шрифтовой композиции, фона их информационного поля, декорации композиции, торгового знака или знака обслуживания);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цветовое решение конструкции и электрооборудования;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proofErr w:type="gramStart"/>
      <w:r w:rsidRPr="00AF67B4">
        <w:rPr>
          <w:color w:val="000000"/>
          <w:sz w:val="22"/>
          <w:szCs w:val="22"/>
        </w:rPr>
        <w:t>свето-цветовое</w:t>
      </w:r>
      <w:proofErr w:type="gramEnd"/>
      <w:r w:rsidRPr="00AF67B4">
        <w:rPr>
          <w:color w:val="000000"/>
          <w:sz w:val="22"/>
          <w:szCs w:val="22"/>
        </w:rPr>
        <w:t xml:space="preserve"> решение подсветки.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1.2.5. Стилистическое решение вывесок, указателей, меню и выбор гарнитуры шрифта выполняются с </w:t>
      </w:r>
      <w:r w:rsidRPr="00AF67B4">
        <w:rPr>
          <w:color w:val="000000"/>
          <w:sz w:val="22"/>
          <w:szCs w:val="22"/>
        </w:rPr>
        <w:lastRenderedPageBreak/>
        <w:t>учетом фасадных решений и композиционных приемов здания, сооружения.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1.2.6. Построение шрифтовой композиции вывесок, указателей, меню выполняется с учетом соблюдения технологии кернинга - </w:t>
      </w:r>
      <w:proofErr w:type="spellStart"/>
      <w:r w:rsidRPr="00AF67B4">
        <w:rPr>
          <w:color w:val="000000"/>
          <w:sz w:val="22"/>
          <w:szCs w:val="22"/>
        </w:rPr>
        <w:t>межбуквенного</w:t>
      </w:r>
      <w:proofErr w:type="spellEnd"/>
      <w:r w:rsidRPr="00AF67B4">
        <w:rPr>
          <w:color w:val="000000"/>
          <w:sz w:val="22"/>
          <w:szCs w:val="22"/>
        </w:rPr>
        <w:t xml:space="preserve"> интервала, характерного для каждого шрифта.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1.2.7. Не допускается использования вертикального порядка расположения букв в информационном поле вывесок, указателей, меню.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1.2.8. Количество гарнитур, используемых в оформлении одной вывески, одного указателя, одного меню или в композиции, составленной из нескольких вывесок, указателей, меню - не более двух гарнитур.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1.2.9. В композиционно-графическом решении допускается использование следующих гарнитур шрифтов: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1.2.9.1. </w:t>
      </w:r>
      <w:proofErr w:type="spellStart"/>
      <w:r w:rsidRPr="00AF67B4">
        <w:rPr>
          <w:color w:val="000000"/>
          <w:sz w:val="22"/>
          <w:szCs w:val="22"/>
        </w:rPr>
        <w:t>Антиквенные</w:t>
      </w:r>
      <w:proofErr w:type="spellEnd"/>
      <w:r w:rsidRPr="00AF67B4">
        <w:rPr>
          <w:color w:val="000000"/>
          <w:sz w:val="22"/>
          <w:szCs w:val="22"/>
        </w:rPr>
        <w:t xml:space="preserve"> шрифты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900"/>
        <w:gridCol w:w="5205"/>
      </w:tblGrid>
      <w:tr w:rsidR="00F36037" w:rsidRPr="00AF67B4">
        <w:tc>
          <w:tcPr>
            <w:tcW w:w="3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Группа </w:t>
            </w:r>
          </w:p>
        </w:tc>
        <w:tc>
          <w:tcPr>
            <w:tcW w:w="5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Название гарнитуры </w:t>
            </w:r>
          </w:p>
        </w:tc>
      </w:tr>
      <w:tr w:rsidR="00F36037" w:rsidRPr="00AF67B4">
        <w:tc>
          <w:tcPr>
            <w:tcW w:w="3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>Антиква старого стиля (Ренессансная антиква)</w:t>
            </w:r>
          </w:p>
        </w:tc>
        <w:tc>
          <w:tcPr>
            <w:tcW w:w="5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F67B4">
              <w:rPr>
                <w:color w:val="000000"/>
                <w:sz w:val="22"/>
                <w:szCs w:val="22"/>
              </w:rPr>
              <w:t>Kis</w:t>
            </w:r>
            <w:proofErr w:type="spellEnd"/>
            <w:r w:rsidRPr="00AF67B4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AF67B4">
              <w:rPr>
                <w:color w:val="000000"/>
                <w:sz w:val="22"/>
                <w:szCs w:val="22"/>
              </w:rPr>
              <w:t>Lazurski</w:t>
            </w:r>
            <w:proofErr w:type="spellEnd"/>
            <w:r w:rsidRPr="00AF67B4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AF67B4">
              <w:rPr>
                <w:color w:val="000000"/>
                <w:sz w:val="22"/>
                <w:szCs w:val="22"/>
              </w:rPr>
              <w:t>Aldine</w:t>
            </w:r>
            <w:proofErr w:type="spellEnd"/>
            <w:r w:rsidRPr="00AF67B4">
              <w:rPr>
                <w:color w:val="000000"/>
                <w:sz w:val="22"/>
                <w:szCs w:val="22"/>
              </w:rPr>
              <w:t xml:space="preserve"> 401, </w:t>
            </w:r>
            <w:proofErr w:type="spellStart"/>
            <w:r w:rsidRPr="00AF67B4">
              <w:rPr>
                <w:color w:val="000000"/>
                <w:sz w:val="22"/>
                <w:szCs w:val="22"/>
              </w:rPr>
              <w:t>Arno</w:t>
            </w:r>
            <w:proofErr w:type="spellEnd"/>
            <w:r w:rsidRPr="00AF67B4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F36037" w:rsidRPr="00AF67B4">
        <w:tc>
          <w:tcPr>
            <w:tcW w:w="3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Переходная антиква </w:t>
            </w:r>
          </w:p>
        </w:tc>
        <w:tc>
          <w:tcPr>
            <w:tcW w:w="5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F67B4">
              <w:rPr>
                <w:color w:val="000000"/>
                <w:sz w:val="22"/>
                <w:szCs w:val="22"/>
              </w:rPr>
              <w:t>Georgia</w:t>
            </w:r>
            <w:proofErr w:type="spellEnd"/>
            <w:r w:rsidRPr="00AF67B4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F36037" w:rsidRPr="00AF67B4">
        <w:tc>
          <w:tcPr>
            <w:tcW w:w="3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>Антиква нового стиля (Классицистическая антиква)</w:t>
            </w:r>
          </w:p>
        </w:tc>
        <w:tc>
          <w:tcPr>
            <w:tcW w:w="5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F67B4">
              <w:rPr>
                <w:color w:val="000000"/>
                <w:sz w:val="22"/>
                <w:szCs w:val="22"/>
              </w:rPr>
              <w:t>Oranienbaum</w:t>
            </w:r>
            <w:proofErr w:type="spellEnd"/>
            <w:r w:rsidRPr="00AF67B4">
              <w:rPr>
                <w:color w:val="000000"/>
                <w:sz w:val="22"/>
                <w:szCs w:val="22"/>
              </w:rPr>
              <w:t>, ПТ Елизаветинская</w:t>
            </w:r>
            <w:r w:rsidR="00F42829" w:rsidRPr="00AF67B4">
              <w:rPr>
                <w:noProof/>
                <w:color w:val="000000"/>
                <w:position w:val="-4"/>
                <w:sz w:val="22"/>
                <w:szCs w:val="22"/>
              </w:rPr>
              <w:drawing>
                <wp:inline distT="0" distB="0" distL="0" distR="0" wp14:anchorId="2D579BF6" wp14:editId="1506F4FA">
                  <wp:extent cx="173355" cy="220980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67B4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AF67B4">
              <w:rPr>
                <w:color w:val="000000"/>
                <w:sz w:val="22"/>
                <w:szCs w:val="22"/>
              </w:rPr>
              <w:t>Bodoni</w:t>
            </w:r>
            <w:proofErr w:type="spellEnd"/>
            <w:r w:rsidRPr="00AF67B4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AF67B4">
              <w:rPr>
                <w:color w:val="000000"/>
                <w:sz w:val="22"/>
                <w:szCs w:val="22"/>
              </w:rPr>
              <w:t>Didot</w:t>
            </w:r>
            <w:proofErr w:type="spellEnd"/>
            <w:r w:rsidRPr="00AF67B4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F36037" w:rsidRPr="00AF67B4">
        <w:tc>
          <w:tcPr>
            <w:tcW w:w="3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Шрифты в латинском стиле </w:t>
            </w:r>
          </w:p>
        </w:tc>
        <w:tc>
          <w:tcPr>
            <w:tcW w:w="5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PT </w:t>
            </w:r>
            <w:proofErr w:type="spellStart"/>
            <w:r w:rsidRPr="00AF67B4">
              <w:rPr>
                <w:color w:val="000000"/>
                <w:sz w:val="22"/>
                <w:szCs w:val="22"/>
              </w:rPr>
              <w:t>Serif</w:t>
            </w:r>
            <w:proofErr w:type="spellEnd"/>
            <w:r w:rsidRPr="00AF67B4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F67B4">
              <w:rPr>
                <w:color w:val="000000"/>
                <w:sz w:val="22"/>
                <w:szCs w:val="22"/>
              </w:rPr>
              <w:t>Pro</w:t>
            </w:r>
            <w:proofErr w:type="spellEnd"/>
            <w:r w:rsidRPr="00AF67B4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F36037" w:rsidRPr="00AF67B4">
        <w:tc>
          <w:tcPr>
            <w:tcW w:w="3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Брусковая антиква </w:t>
            </w:r>
          </w:p>
        </w:tc>
        <w:tc>
          <w:tcPr>
            <w:tcW w:w="5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  <w:lang w:val="en-US"/>
              </w:rPr>
            </w:pPr>
            <w:r w:rsidRPr="00AF67B4">
              <w:rPr>
                <w:color w:val="000000"/>
                <w:sz w:val="22"/>
                <w:szCs w:val="22"/>
                <w:lang w:val="en-US"/>
              </w:rPr>
              <w:t xml:space="preserve">Academy, </w:t>
            </w:r>
            <w:proofErr w:type="spellStart"/>
            <w:r w:rsidRPr="00AF67B4">
              <w:rPr>
                <w:color w:val="000000"/>
                <w:sz w:val="22"/>
                <w:szCs w:val="22"/>
                <w:lang w:val="en-US"/>
              </w:rPr>
              <w:t>Luga</w:t>
            </w:r>
            <w:proofErr w:type="spellEnd"/>
            <w:r w:rsidRPr="00AF67B4">
              <w:rPr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F67B4">
              <w:rPr>
                <w:color w:val="000000"/>
                <w:sz w:val="22"/>
                <w:szCs w:val="22"/>
                <w:lang w:val="en-US"/>
              </w:rPr>
              <w:t>SchoolBook</w:t>
            </w:r>
            <w:proofErr w:type="spellEnd"/>
            <w:r w:rsidRPr="00AF67B4">
              <w:rPr>
                <w:color w:val="000000"/>
                <w:sz w:val="22"/>
                <w:szCs w:val="22"/>
                <w:lang w:val="en-US"/>
              </w:rPr>
              <w:t>, Journal (</w:t>
            </w:r>
            <w:r w:rsidRPr="00AF67B4">
              <w:rPr>
                <w:color w:val="000000"/>
                <w:sz w:val="22"/>
                <w:szCs w:val="22"/>
              </w:rPr>
              <w:t>Журнальная</w:t>
            </w:r>
            <w:r w:rsidRPr="00AF67B4">
              <w:rPr>
                <w:color w:val="000000"/>
                <w:sz w:val="22"/>
                <w:szCs w:val="22"/>
                <w:lang w:val="en-US"/>
              </w:rPr>
              <w:t xml:space="preserve">), </w:t>
            </w:r>
            <w:r w:rsidRPr="00AF67B4">
              <w:rPr>
                <w:color w:val="000000"/>
                <w:sz w:val="22"/>
                <w:szCs w:val="22"/>
              </w:rPr>
              <w:t>Вакцина</w:t>
            </w:r>
            <w:r w:rsidRPr="00AF67B4">
              <w:rPr>
                <w:color w:val="000000"/>
                <w:sz w:val="22"/>
                <w:szCs w:val="22"/>
                <w:lang w:val="en-US"/>
              </w:rPr>
              <w:t xml:space="preserve"> (Vaccine), </w:t>
            </w:r>
            <w:proofErr w:type="spellStart"/>
            <w:r w:rsidRPr="00AF67B4">
              <w:rPr>
                <w:color w:val="000000"/>
                <w:sz w:val="22"/>
                <w:szCs w:val="22"/>
                <w:lang w:val="en-US"/>
              </w:rPr>
              <w:t>Baltica</w:t>
            </w:r>
            <w:proofErr w:type="spellEnd"/>
            <w:r w:rsidRPr="00AF67B4">
              <w:rPr>
                <w:color w:val="000000"/>
                <w:sz w:val="22"/>
                <w:szCs w:val="22"/>
                <w:lang w:val="en-US"/>
              </w:rPr>
              <w:t xml:space="preserve"> </w:t>
            </w:r>
          </w:p>
        </w:tc>
      </w:tr>
    </w:tbl>
    <w:p w:rsidR="00F36037" w:rsidRPr="00AF67B4" w:rsidRDefault="00F36037">
      <w:pPr>
        <w:ind w:firstLine="225"/>
        <w:jc w:val="both"/>
        <w:rPr>
          <w:color w:val="000000"/>
          <w:sz w:val="22"/>
          <w:szCs w:val="22"/>
          <w:lang w:val="en-US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  <w:lang w:val="en-US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1.2.9.2. Гротески или рубленые шрифты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855"/>
        <w:gridCol w:w="5145"/>
      </w:tblGrid>
      <w:tr w:rsidR="00F36037" w:rsidRPr="00AF67B4">
        <w:tc>
          <w:tcPr>
            <w:tcW w:w="38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Группа </w:t>
            </w:r>
          </w:p>
        </w:tc>
        <w:tc>
          <w:tcPr>
            <w:tcW w:w="5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Название гарнитуры </w:t>
            </w:r>
          </w:p>
        </w:tc>
      </w:tr>
      <w:tr w:rsidR="00F36037" w:rsidRPr="00AF67B4">
        <w:tc>
          <w:tcPr>
            <w:tcW w:w="38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Старые гротески </w:t>
            </w:r>
          </w:p>
        </w:tc>
        <w:tc>
          <w:tcPr>
            <w:tcW w:w="5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  <w:lang w:val="en-US"/>
              </w:rPr>
            </w:pPr>
            <w:r w:rsidRPr="00AF67B4">
              <w:rPr>
                <w:color w:val="000000"/>
                <w:sz w:val="22"/>
                <w:szCs w:val="22"/>
                <w:lang w:val="en-US"/>
              </w:rPr>
              <w:t>IT</w:t>
            </w:r>
            <w:r w:rsidRPr="00AF67B4">
              <w:rPr>
                <w:color w:val="000000"/>
                <w:sz w:val="22"/>
                <w:szCs w:val="22"/>
              </w:rPr>
              <w:t>С</w:t>
            </w:r>
            <w:r w:rsidRPr="00AF67B4">
              <w:rPr>
                <w:color w:val="000000"/>
                <w:sz w:val="22"/>
                <w:szCs w:val="22"/>
                <w:lang w:val="en-US"/>
              </w:rPr>
              <w:t xml:space="preserve"> Franklin Gothic, Gothic 725, Nat </w:t>
            </w:r>
            <w:proofErr w:type="spellStart"/>
            <w:r w:rsidRPr="00AF67B4">
              <w:rPr>
                <w:color w:val="000000"/>
                <w:sz w:val="22"/>
                <w:szCs w:val="22"/>
                <w:lang w:val="en-US"/>
              </w:rPr>
              <w:t>Grotesk</w:t>
            </w:r>
            <w:proofErr w:type="spellEnd"/>
            <w:r w:rsidRPr="00AF67B4">
              <w:rPr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F67B4">
              <w:rPr>
                <w:color w:val="000000"/>
                <w:sz w:val="22"/>
                <w:szCs w:val="22"/>
                <w:lang w:val="en-US"/>
              </w:rPr>
              <w:t>TextBook</w:t>
            </w:r>
            <w:proofErr w:type="spellEnd"/>
            <w:r w:rsidRPr="00AF67B4">
              <w:rPr>
                <w:color w:val="000000"/>
                <w:sz w:val="22"/>
                <w:szCs w:val="22"/>
                <w:lang w:val="en-US"/>
              </w:rPr>
              <w:t xml:space="preserve">, Textbook New </w:t>
            </w:r>
          </w:p>
        </w:tc>
      </w:tr>
      <w:tr w:rsidR="00F36037" w:rsidRPr="00AF67B4">
        <w:tc>
          <w:tcPr>
            <w:tcW w:w="38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Новые гротески </w:t>
            </w:r>
          </w:p>
        </w:tc>
        <w:tc>
          <w:tcPr>
            <w:tcW w:w="5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F67B4">
              <w:rPr>
                <w:color w:val="000000"/>
                <w:sz w:val="22"/>
                <w:szCs w:val="22"/>
              </w:rPr>
              <w:t>Akcidenz</w:t>
            </w:r>
            <w:proofErr w:type="spellEnd"/>
            <w:r w:rsidRPr="00AF67B4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F67B4">
              <w:rPr>
                <w:color w:val="000000"/>
                <w:sz w:val="22"/>
                <w:szCs w:val="22"/>
              </w:rPr>
              <w:t>Grotesk</w:t>
            </w:r>
            <w:proofErr w:type="spellEnd"/>
            <w:r w:rsidRPr="00AF67B4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AF67B4">
              <w:rPr>
                <w:color w:val="000000"/>
                <w:sz w:val="22"/>
                <w:szCs w:val="22"/>
              </w:rPr>
              <w:t>Helvetica</w:t>
            </w:r>
            <w:proofErr w:type="spellEnd"/>
            <w:r w:rsidRPr="00AF67B4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AF67B4">
              <w:rPr>
                <w:color w:val="000000"/>
                <w:sz w:val="22"/>
                <w:szCs w:val="22"/>
              </w:rPr>
              <w:t>Univers</w:t>
            </w:r>
            <w:proofErr w:type="spellEnd"/>
            <w:r w:rsidRPr="00AF67B4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F36037" w:rsidRPr="00AF67B4">
        <w:tc>
          <w:tcPr>
            <w:tcW w:w="38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Геометрические гротески </w:t>
            </w:r>
          </w:p>
        </w:tc>
        <w:tc>
          <w:tcPr>
            <w:tcW w:w="5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  <w:lang w:val="en-US"/>
              </w:rPr>
            </w:pPr>
            <w:r w:rsidRPr="00AF67B4">
              <w:rPr>
                <w:color w:val="000000"/>
                <w:sz w:val="22"/>
                <w:szCs w:val="22"/>
                <w:lang w:val="en-US"/>
              </w:rPr>
              <w:t xml:space="preserve">ITC Avant </w:t>
            </w:r>
            <w:proofErr w:type="spellStart"/>
            <w:r w:rsidRPr="00AF67B4">
              <w:rPr>
                <w:color w:val="000000"/>
                <w:sz w:val="22"/>
                <w:szCs w:val="22"/>
                <w:lang w:val="en-US"/>
              </w:rPr>
              <w:t>Garde</w:t>
            </w:r>
            <w:proofErr w:type="spellEnd"/>
            <w:r w:rsidRPr="00AF67B4">
              <w:rPr>
                <w:color w:val="000000"/>
                <w:sz w:val="22"/>
                <w:szCs w:val="22"/>
                <w:lang w:val="en-US"/>
              </w:rPr>
              <w:t xml:space="preserve"> Gothic, </w:t>
            </w:r>
            <w:proofErr w:type="spellStart"/>
            <w:r w:rsidRPr="00AF67B4">
              <w:rPr>
                <w:color w:val="000000"/>
                <w:sz w:val="22"/>
                <w:szCs w:val="22"/>
                <w:lang w:val="en-US"/>
              </w:rPr>
              <w:t>Futura</w:t>
            </w:r>
            <w:proofErr w:type="spellEnd"/>
            <w:r w:rsidRPr="00AF67B4">
              <w:rPr>
                <w:color w:val="000000"/>
                <w:sz w:val="22"/>
                <w:szCs w:val="22"/>
                <w:lang w:val="en-US"/>
              </w:rPr>
              <w:t xml:space="preserve">, Journal Sans, Journal Sans New Display, ITC </w:t>
            </w:r>
            <w:proofErr w:type="spellStart"/>
            <w:r w:rsidRPr="00AF67B4">
              <w:rPr>
                <w:color w:val="000000"/>
                <w:sz w:val="22"/>
                <w:szCs w:val="22"/>
                <w:lang w:val="en-US"/>
              </w:rPr>
              <w:t>Kabel</w:t>
            </w:r>
            <w:proofErr w:type="spellEnd"/>
            <w:r w:rsidRPr="00AF67B4">
              <w:rPr>
                <w:color w:val="000000"/>
                <w:sz w:val="22"/>
                <w:szCs w:val="22"/>
                <w:lang w:val="en-US"/>
              </w:rPr>
              <w:t xml:space="preserve"> </w:t>
            </w:r>
          </w:p>
        </w:tc>
      </w:tr>
      <w:tr w:rsidR="00F36037" w:rsidRPr="00AF67B4">
        <w:tc>
          <w:tcPr>
            <w:tcW w:w="38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Гуманистические гротески </w:t>
            </w:r>
          </w:p>
        </w:tc>
        <w:tc>
          <w:tcPr>
            <w:tcW w:w="5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  <w:lang w:val="en-US"/>
              </w:rPr>
            </w:pPr>
            <w:r w:rsidRPr="00AF67B4">
              <w:rPr>
                <w:color w:val="000000"/>
                <w:sz w:val="22"/>
                <w:szCs w:val="22"/>
                <w:lang w:val="en-US"/>
              </w:rPr>
              <w:t xml:space="preserve">Gill Sans (Humanist 521), </w:t>
            </w:r>
            <w:proofErr w:type="spellStart"/>
            <w:r w:rsidRPr="00AF67B4">
              <w:rPr>
                <w:color w:val="000000"/>
                <w:sz w:val="22"/>
                <w:szCs w:val="22"/>
                <w:lang w:val="en-US"/>
              </w:rPr>
              <w:t>FreeSet</w:t>
            </w:r>
            <w:proofErr w:type="spellEnd"/>
            <w:r w:rsidRPr="00AF67B4">
              <w:rPr>
                <w:color w:val="000000"/>
                <w:sz w:val="22"/>
                <w:szCs w:val="22"/>
                <w:lang w:val="en-US"/>
              </w:rPr>
              <w:t xml:space="preserve"> (</w:t>
            </w:r>
            <w:proofErr w:type="spellStart"/>
            <w:r w:rsidRPr="00AF67B4">
              <w:rPr>
                <w:color w:val="000000"/>
                <w:sz w:val="22"/>
                <w:szCs w:val="22"/>
                <w:lang w:val="en-US"/>
              </w:rPr>
              <w:t>Frutiger</w:t>
            </w:r>
            <w:proofErr w:type="spellEnd"/>
            <w:r w:rsidRPr="00AF67B4">
              <w:rPr>
                <w:color w:val="000000"/>
                <w:sz w:val="22"/>
                <w:szCs w:val="22"/>
                <w:lang w:val="en-US"/>
              </w:rPr>
              <w:t xml:space="preserve">), Barnaul </w:t>
            </w:r>
            <w:proofErr w:type="spellStart"/>
            <w:r w:rsidRPr="00AF67B4">
              <w:rPr>
                <w:color w:val="000000"/>
                <w:sz w:val="22"/>
                <w:szCs w:val="22"/>
                <w:lang w:val="en-US"/>
              </w:rPr>
              <w:t>Grotesk</w:t>
            </w:r>
            <w:proofErr w:type="spellEnd"/>
            <w:r w:rsidRPr="00AF67B4">
              <w:rPr>
                <w:color w:val="000000"/>
                <w:sz w:val="22"/>
                <w:szCs w:val="22"/>
                <w:lang w:val="en-US"/>
              </w:rPr>
              <w:t xml:space="preserve">, ITC </w:t>
            </w:r>
            <w:proofErr w:type="spellStart"/>
            <w:r w:rsidRPr="00AF67B4">
              <w:rPr>
                <w:color w:val="000000"/>
                <w:sz w:val="22"/>
                <w:szCs w:val="22"/>
                <w:lang w:val="en-US"/>
              </w:rPr>
              <w:t>Officina</w:t>
            </w:r>
            <w:proofErr w:type="spellEnd"/>
            <w:r w:rsidRPr="00AF67B4">
              <w:rPr>
                <w:color w:val="000000"/>
                <w:sz w:val="22"/>
                <w:szCs w:val="22"/>
                <w:lang w:val="en-US"/>
              </w:rPr>
              <w:t xml:space="preserve"> Sans, PT Sans Pro, ITC Stone Sans, Verdana </w:t>
            </w:r>
          </w:p>
        </w:tc>
      </w:tr>
    </w:tbl>
    <w:p w:rsidR="00F36037" w:rsidRPr="00AF67B4" w:rsidRDefault="00F36037">
      <w:pPr>
        <w:ind w:firstLine="225"/>
        <w:jc w:val="both"/>
        <w:rPr>
          <w:color w:val="000000"/>
          <w:sz w:val="22"/>
          <w:szCs w:val="22"/>
          <w:lang w:val="en-US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  <w:lang w:val="en-US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1.2.9.3. Акцидентные и рукописные шрифты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855"/>
        <w:gridCol w:w="5145"/>
      </w:tblGrid>
      <w:tr w:rsidR="00F36037" w:rsidRPr="00AF67B4">
        <w:tc>
          <w:tcPr>
            <w:tcW w:w="38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Группа </w:t>
            </w:r>
          </w:p>
        </w:tc>
        <w:tc>
          <w:tcPr>
            <w:tcW w:w="5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Название гарнитуры </w:t>
            </w:r>
          </w:p>
        </w:tc>
      </w:tr>
      <w:tr w:rsidR="00F36037" w:rsidRPr="00AF67B4">
        <w:tc>
          <w:tcPr>
            <w:tcW w:w="90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>Акцидентные шрифты:</w:t>
            </w:r>
          </w:p>
        </w:tc>
      </w:tr>
      <w:tr w:rsidR="00F36037" w:rsidRPr="00AF67B4">
        <w:tc>
          <w:tcPr>
            <w:tcW w:w="38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Шрифты в стиле модерн </w:t>
            </w:r>
          </w:p>
        </w:tc>
        <w:tc>
          <w:tcPr>
            <w:tcW w:w="5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  <w:lang w:val="en-US"/>
              </w:rPr>
            </w:pPr>
            <w:r w:rsidRPr="00AF67B4">
              <w:rPr>
                <w:color w:val="000000"/>
                <w:sz w:val="22"/>
                <w:szCs w:val="22"/>
                <w:lang w:val="en-US"/>
              </w:rPr>
              <w:t xml:space="preserve">ITC </w:t>
            </w:r>
            <w:proofErr w:type="spellStart"/>
            <w:r w:rsidRPr="00AF67B4">
              <w:rPr>
                <w:color w:val="000000"/>
                <w:sz w:val="22"/>
                <w:szCs w:val="22"/>
                <w:lang w:val="en-US"/>
              </w:rPr>
              <w:t>Korinna</w:t>
            </w:r>
            <w:proofErr w:type="spellEnd"/>
            <w:r w:rsidRPr="00AF67B4">
              <w:rPr>
                <w:color w:val="000000"/>
                <w:sz w:val="22"/>
                <w:szCs w:val="22"/>
                <w:lang w:val="en-US"/>
              </w:rPr>
              <w:t xml:space="preserve">, Secession, Pollock, Hermes, Farer </w:t>
            </w:r>
          </w:p>
        </w:tc>
      </w:tr>
      <w:tr w:rsidR="00F36037" w:rsidRPr="00AF67B4">
        <w:tc>
          <w:tcPr>
            <w:tcW w:w="38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Шрифты в стиле конструктивизма </w:t>
            </w:r>
          </w:p>
        </w:tc>
        <w:tc>
          <w:tcPr>
            <w:tcW w:w="5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AF67B4">
              <w:rPr>
                <w:color w:val="000000"/>
                <w:sz w:val="22"/>
                <w:szCs w:val="22"/>
                <w:lang w:val="en-US"/>
              </w:rPr>
              <w:t>Rodchenko</w:t>
            </w:r>
            <w:proofErr w:type="spellEnd"/>
            <w:r w:rsidRPr="00AF67B4">
              <w:rPr>
                <w:color w:val="000000"/>
                <w:sz w:val="22"/>
                <w:szCs w:val="22"/>
                <w:lang w:val="en-US"/>
              </w:rPr>
              <w:t xml:space="preserve"> (Steinbach), Bauhaus </w:t>
            </w:r>
            <w:proofErr w:type="spellStart"/>
            <w:r w:rsidRPr="00AF67B4">
              <w:rPr>
                <w:color w:val="000000"/>
                <w:sz w:val="22"/>
                <w:szCs w:val="22"/>
                <w:lang w:val="en-US"/>
              </w:rPr>
              <w:t>Futura</w:t>
            </w:r>
            <w:proofErr w:type="spellEnd"/>
            <w:r w:rsidRPr="00AF67B4">
              <w:rPr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F67B4">
              <w:rPr>
                <w:color w:val="000000"/>
                <w:sz w:val="22"/>
                <w:szCs w:val="22"/>
                <w:lang w:val="en-US"/>
              </w:rPr>
              <w:t>Gazetta</w:t>
            </w:r>
            <w:proofErr w:type="spellEnd"/>
            <w:r w:rsidRPr="00AF67B4">
              <w:rPr>
                <w:color w:val="000000"/>
                <w:sz w:val="22"/>
                <w:szCs w:val="22"/>
                <w:lang w:val="en-US"/>
              </w:rPr>
              <w:t xml:space="preserve"> </w:t>
            </w:r>
          </w:p>
        </w:tc>
      </w:tr>
      <w:tr w:rsidR="00F36037" w:rsidRPr="00AF67B4">
        <w:tc>
          <w:tcPr>
            <w:tcW w:w="90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>Рукописные шрифты:</w:t>
            </w:r>
          </w:p>
        </w:tc>
      </w:tr>
      <w:tr w:rsidR="00F36037" w:rsidRPr="00AF67B4">
        <w:tc>
          <w:tcPr>
            <w:tcW w:w="38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Шрифты с исторической стилизацией </w:t>
            </w:r>
          </w:p>
        </w:tc>
        <w:tc>
          <w:tcPr>
            <w:tcW w:w="5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F67B4">
              <w:rPr>
                <w:color w:val="000000"/>
                <w:sz w:val="22"/>
                <w:szCs w:val="22"/>
              </w:rPr>
              <w:t>Retropekan</w:t>
            </w:r>
            <w:proofErr w:type="spellEnd"/>
            <w:r w:rsidRPr="00AF67B4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AF67B4">
              <w:rPr>
                <w:color w:val="000000"/>
                <w:sz w:val="22"/>
                <w:szCs w:val="22"/>
              </w:rPr>
              <w:t>Roundhand</w:t>
            </w:r>
            <w:proofErr w:type="spellEnd"/>
            <w:r w:rsidRPr="00AF67B4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</w:tbl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1.2.10. Допускается пропорциональное изменение: увеличение, уменьшение силуэта буквенных знаков. Иные изменения силуэта буквенных знаков не допускаются.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1.2.11. Допускается выполнение конструктивного решения вывесок, указателей, меню, которое обеспечивает: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прочность, устойчивость к механическому воздействию;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минимальный контакт с фасадом здания, сооружения;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удобство монтажа и демонтажа.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1.2.12. Материалы и технологии, применяемые для изготовления вывесок, указателей, меню, должны обеспечивать ровную окраску, равномерные зазоры конструкции, отсутствие внешнего технологического крепежа.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1.2.13. Допускается использование следующих типов конструктивных решений для настенной вывески, отнесенной вывески, настенного указателя: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отдельные буквы без фоновой основы (световые, не световые);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отдельные буквы на контурной основе, в том числе </w:t>
      </w:r>
      <w:proofErr w:type="spellStart"/>
      <w:r w:rsidRPr="00AF67B4">
        <w:rPr>
          <w:color w:val="000000"/>
          <w:sz w:val="22"/>
          <w:szCs w:val="22"/>
        </w:rPr>
        <w:t>бесфоновой</w:t>
      </w:r>
      <w:proofErr w:type="spellEnd"/>
      <w:r w:rsidRPr="00AF67B4">
        <w:rPr>
          <w:color w:val="000000"/>
          <w:sz w:val="22"/>
          <w:szCs w:val="22"/>
        </w:rPr>
        <w:t xml:space="preserve">; отдельные буквы на основе типа "планшет", в том числе </w:t>
      </w:r>
      <w:proofErr w:type="spellStart"/>
      <w:r w:rsidRPr="00AF67B4">
        <w:rPr>
          <w:color w:val="000000"/>
          <w:sz w:val="22"/>
          <w:szCs w:val="22"/>
        </w:rPr>
        <w:t>бесфоновой</w:t>
      </w:r>
      <w:proofErr w:type="spellEnd"/>
      <w:r w:rsidRPr="00AF67B4">
        <w:rPr>
          <w:color w:val="000000"/>
          <w:sz w:val="22"/>
          <w:szCs w:val="22"/>
        </w:rPr>
        <w:t>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фигурный световой короб;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световой короб типа "планшет".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1.2.14. Крепление вывесок, указателей, меню к фасаду должно быть скрытого типа.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1.2.15. Крепление вывесок, указателей, меню должно осуществляться с минимальным количеством отверстий в фасад здания, сооружения.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1.2.16. Крепление </w:t>
      </w:r>
      <w:proofErr w:type="gramStart"/>
      <w:r w:rsidRPr="00AF67B4">
        <w:rPr>
          <w:color w:val="000000"/>
          <w:sz w:val="22"/>
          <w:szCs w:val="22"/>
        </w:rPr>
        <w:t>вывесок, имеющих конструктивное решение в виде отдельных букв осуществляется</w:t>
      </w:r>
      <w:proofErr w:type="gramEnd"/>
      <w:r w:rsidRPr="00AF67B4">
        <w:rPr>
          <w:color w:val="000000"/>
          <w:sz w:val="22"/>
          <w:szCs w:val="22"/>
        </w:rPr>
        <w:t xml:space="preserve"> путем крепления каждого элемента на единую монтажную раму, которая затем крепится к фасаду.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1.2.17. В случае крепления вывесок, указателей, меню к рустованной поверхности фасада, крепление осуществляется в руст.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1.2.18. Заинтересованное в размещении вывесок, указателей, меню лицо обеспечивает равномерную окраску фасада в предполагаемом месте размещения вывесок, указателей, меню.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Не допускается размещения вывесок, указателей, меню на фасад, имеющий следы, отверстия, повреждения.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1.2.19. Не допускается размещения вывесок, указателей, меню на фасаде здания, сооружения с </w:t>
      </w:r>
      <w:r w:rsidRPr="00AF67B4">
        <w:rPr>
          <w:color w:val="000000"/>
          <w:sz w:val="22"/>
          <w:szCs w:val="22"/>
        </w:rPr>
        <w:lastRenderedPageBreak/>
        <w:t>ценной отделкой (</w:t>
      </w:r>
      <w:proofErr w:type="gramStart"/>
      <w:r w:rsidRPr="00AF67B4">
        <w:rPr>
          <w:color w:val="000000"/>
          <w:sz w:val="22"/>
          <w:szCs w:val="22"/>
        </w:rPr>
        <w:t>каменная</w:t>
      </w:r>
      <w:proofErr w:type="gramEnd"/>
      <w:r w:rsidRPr="00AF67B4">
        <w:rPr>
          <w:color w:val="000000"/>
          <w:sz w:val="22"/>
          <w:szCs w:val="22"/>
        </w:rPr>
        <w:t xml:space="preserve">, </w:t>
      </w:r>
      <w:proofErr w:type="spellStart"/>
      <w:r w:rsidRPr="00AF67B4">
        <w:rPr>
          <w:color w:val="000000"/>
          <w:sz w:val="22"/>
          <w:szCs w:val="22"/>
        </w:rPr>
        <w:t>терразитовая</w:t>
      </w:r>
      <w:proofErr w:type="spellEnd"/>
      <w:r w:rsidRPr="00AF67B4">
        <w:rPr>
          <w:color w:val="000000"/>
          <w:sz w:val="22"/>
          <w:szCs w:val="22"/>
        </w:rPr>
        <w:t>, керамическая, фактурная).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В случае, указанном в абзаце первом настоящего пункта, допускается размещение вывески в витрине.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1.2.20. Подсветка вывесок, указателей, меню должна быть равномерной, обеспечивать видимость в вечернее время, излучать немерцающий, приглушенный, рассеянный свет.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1.2.21. Допускается применение внутренней подсветки вывесок, указателей, меню: лицевой, боковой внутренней подсветки, внутренней подсветки в сторону фасада.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1.2.22. Не допускается использования: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внешней подсветки посредством выносного освещения;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подсветки со свето-динамическим, мерцающим эффектом.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1.2.23. Допускается использование следующего цвета света: теплый, белый (цветовая температура 2900-4000 К).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1.2.24. Электрооборудование (провода) вывесок, указателей, меню подлежит окрашиванию в цвет фасада здания, сооружения.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1.3. Специальные требования к размещению и внешнему виду настенных вывесок: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1.3.1. Размещение настенных вывесок на фасаде здания, сооружения допускается при обеспечении визуальных полей по периметру настенной вывески: боковые, верхнее и нижнее.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1.3.2. При наличии возможности размещения настенных вывесок в выделенных архитектурных полях размещение настенных вывесок допускается строго в границах выделенных архитектурных полей.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1.3.3. В случае размещения настенной вывески в выделенном горизонтальном архитектурном поясе между первым и вторым этажами здания высота каждого из полей (верхнего и нижнего) допускается не менее 30 процентов от высоты настенной вывески.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1.3.4. Ширина каждого бокового поля настенной вывески допускается не менее чем сумма ширины прописной буквы "О" в начертании шрифта, используемого в настенной вывеске, и ширины одного </w:t>
      </w:r>
      <w:proofErr w:type="spellStart"/>
      <w:r w:rsidRPr="00AF67B4">
        <w:rPr>
          <w:color w:val="000000"/>
          <w:sz w:val="22"/>
          <w:szCs w:val="22"/>
        </w:rPr>
        <w:t>межбуквенного</w:t>
      </w:r>
      <w:proofErr w:type="spellEnd"/>
      <w:r w:rsidRPr="00AF67B4">
        <w:rPr>
          <w:color w:val="000000"/>
          <w:sz w:val="22"/>
          <w:szCs w:val="22"/>
        </w:rPr>
        <w:t xml:space="preserve"> интервала, используемого в данной настенной вывеске.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1.3.5. На фасадах зданий, сооружений, имеющих сложную и протяженную линию, допускается размещение: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1.3.5.1. Нескольких вывесок, идентичных по содержанию, композиционному и </w:t>
      </w:r>
      <w:proofErr w:type="gramStart"/>
      <w:r w:rsidRPr="00AF67B4">
        <w:rPr>
          <w:color w:val="000000"/>
          <w:sz w:val="22"/>
          <w:szCs w:val="22"/>
        </w:rPr>
        <w:t>техническому исполнению</w:t>
      </w:r>
      <w:proofErr w:type="gramEnd"/>
      <w:r w:rsidRPr="00AF67B4">
        <w:rPr>
          <w:color w:val="000000"/>
          <w:sz w:val="22"/>
          <w:szCs w:val="22"/>
        </w:rPr>
        <w:t xml:space="preserve"> и принадлежащих заинтересованному лицу, в нескольких местах в пределах занимаемых заинтересованным лицом помещений.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Расстояние между настенными вывесками, указанными в абзаце первом настоящего пункта, должно составлять 25 м в одной горизонтальной оси.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1.3.5.2. Настенных вывесок, размещаемых на фасаде здания, сооружения в пределах занимаемым заинтересованным лицом помещений и состоящих из нескольких элементов (слов, знаков, символов), отличающихся по содержанию, но объединенных в единое композиционное решение, которое обозначает наименование заинтересованного лица и профиль его деятельности.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1.3.6. В случае</w:t>
      </w:r>
      <w:proofErr w:type="gramStart"/>
      <w:r w:rsidRPr="00AF67B4">
        <w:rPr>
          <w:color w:val="000000"/>
          <w:sz w:val="22"/>
          <w:szCs w:val="22"/>
        </w:rPr>
        <w:t>,</w:t>
      </w:r>
      <w:proofErr w:type="gramEnd"/>
      <w:r w:rsidRPr="00AF67B4">
        <w:rPr>
          <w:color w:val="000000"/>
          <w:sz w:val="22"/>
          <w:szCs w:val="22"/>
        </w:rPr>
        <w:t xml:space="preserve"> если занимаемое помещение располагается в подвальных или цокольных этажах здания, сооружения и отсутствует возможность размещения настенной вывески в соответствии с требованиями Правил благоустройства территории Санкт-Петербурга, настоящего приложения настенная вывеска может быть размещена над окнами подвального или цокольного этажа, но не ниже 0,6 м от уровня земли до нижнего края настенной вывески.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1.3.7. В случае</w:t>
      </w:r>
      <w:proofErr w:type="gramStart"/>
      <w:r w:rsidRPr="00AF67B4">
        <w:rPr>
          <w:color w:val="000000"/>
          <w:sz w:val="22"/>
          <w:szCs w:val="22"/>
        </w:rPr>
        <w:t>,</w:t>
      </w:r>
      <w:proofErr w:type="gramEnd"/>
      <w:r w:rsidRPr="00AF67B4">
        <w:rPr>
          <w:color w:val="000000"/>
          <w:sz w:val="22"/>
          <w:szCs w:val="22"/>
        </w:rPr>
        <w:t xml:space="preserve"> если один вход в здание обеспечивает проход к нескольким организациям (более одной), то есть является общим для нескольких организаций (более одной), размещение настенных вывесок над общим входом не допускается.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1.3.8. Допустимые габариты настенных вывесок рассчитываются исходя из габаритов мест размещения настенных вывесок с учетом визуальных полей (боковых, нижнего, верхнего).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В случае размещения настенных вывесок на рустованной поверхности фасада высота настенной вывески не может превышать высоту одного </w:t>
      </w:r>
      <w:proofErr w:type="spellStart"/>
      <w:r w:rsidRPr="00AF67B4">
        <w:rPr>
          <w:color w:val="000000"/>
          <w:sz w:val="22"/>
          <w:szCs w:val="22"/>
        </w:rPr>
        <w:t>квадра</w:t>
      </w:r>
      <w:proofErr w:type="spellEnd"/>
      <w:r w:rsidRPr="00AF67B4">
        <w:rPr>
          <w:color w:val="000000"/>
          <w:sz w:val="22"/>
          <w:szCs w:val="22"/>
        </w:rPr>
        <w:t>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1.3.9. В зависимости от фасадных решений и композиционных приемов допускается высота настенной вывески в виде отдельных букв 250-400 мм для строчных знаков.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1.3.10. Максимальная высота настенной вывески в виде отдельных букв - не более 550 мм с учетом требований пункта 1.3.8 настоящего приложения.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Максимальная высота настенной вывески иного конструктивного решения - не более 620 мм с учетом требований пункта 1.3.8 настоящего приложения.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1.3.11. Методом композиционно-графического решения настенных вывесок является размещение композиции (букв, знаков, символов) в одну строку.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В случае невозможности размещения композиции в одну строку допускается размещение такой информации в количестве не более двух строк.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1.3.12. Величина междустрочного интервала (интерлиньяж) в шрифтовой композиции настенных вывесок, составленной из двух строк, допускается 0,5-0,75 от высоты буквы для композиций из прописных букв.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1.3.13. Для композиций, состоящих из строчных букв, величина межстрочного интервала допускается не более одной высоты строчной буквы без учета выносных элементов шрифта.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1.3.14. Размещение в составе настенных вывесок элементов, не содержащих сведений информационного характера и предназначенных для обозначения на фасаде границ помещений, занимаемых заинтересованным лицом, не допускается.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1.3.15. Допускается использование цветового решения фона информационного поля настенных вывесок, цветового решения конструкции и </w:t>
      </w:r>
      <w:proofErr w:type="gramStart"/>
      <w:r w:rsidRPr="00AF67B4">
        <w:rPr>
          <w:color w:val="000000"/>
          <w:sz w:val="22"/>
          <w:szCs w:val="22"/>
        </w:rPr>
        <w:t>электрооборудования</w:t>
      </w:r>
      <w:proofErr w:type="gramEnd"/>
      <w:r w:rsidRPr="00AF67B4">
        <w:rPr>
          <w:color w:val="000000"/>
          <w:sz w:val="22"/>
          <w:szCs w:val="22"/>
        </w:rPr>
        <w:t xml:space="preserve"> соответствующих цвету фасада здания, сооружения.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1.3.16. </w:t>
      </w:r>
      <w:proofErr w:type="gramStart"/>
      <w:r w:rsidRPr="00AF67B4">
        <w:rPr>
          <w:color w:val="000000"/>
          <w:sz w:val="22"/>
          <w:szCs w:val="22"/>
        </w:rPr>
        <w:t>Свето-цветовое</w:t>
      </w:r>
      <w:proofErr w:type="gramEnd"/>
      <w:r w:rsidRPr="00AF67B4">
        <w:rPr>
          <w:color w:val="000000"/>
          <w:sz w:val="22"/>
          <w:szCs w:val="22"/>
        </w:rPr>
        <w:t xml:space="preserve"> решение подсветки настенных вывесок определяется в соответствии с цветовым решением фасада здания, сооружения.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1.3.17. На фасадах зданий с большим количеством арендаторов или собственников размещение настенных вывесок, консольных вывесок, настенных и консольных указателей, иных видов элементов наружной информации должно осуществляться упорядоченно на основе проекта благоустройства элементов благоустройства.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1.4. Специальные требования к размещению и внешнему виду вывесок в витринах: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1.4.1. В составе витрины допускается размещение вывески в витрине: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в виде отдельных букв, установленных непосредственно на остеклении витрины с внешней или внутренней стороны остекления;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в виде пленочного изображения с учетом требований пункта 1.4.4 настоящего приложения.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1.4.2. Допускается устройство внутренней подсветки в составе вывесок в витрине.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1.4.3. Габариты вывесок в витринах, устанавливаемых на остеклении витрины в виде отдельных букв: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в высоту до 0,3 м, в длину - длина остекления витрины;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толщина букв - не более 50 мм;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максимальный размер высоты букв - 0,15 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1.4.4. Площадь пленочного изображения информационного характера, при размещении на поверхности остекления витрин составляет не более 1/10 поля крупных витрин (площадью свыше 2 </w:t>
      </w:r>
      <w:proofErr w:type="spellStart"/>
      <w:r w:rsidRPr="00AF67B4">
        <w:rPr>
          <w:color w:val="000000"/>
          <w:sz w:val="22"/>
          <w:szCs w:val="22"/>
        </w:rPr>
        <w:t>кв</w:t>
      </w:r>
      <w:proofErr w:type="gramStart"/>
      <w:r w:rsidRPr="00AF67B4">
        <w:rPr>
          <w:color w:val="000000"/>
          <w:sz w:val="22"/>
          <w:szCs w:val="22"/>
        </w:rPr>
        <w:t>.м</w:t>
      </w:r>
      <w:proofErr w:type="spellEnd"/>
      <w:proofErr w:type="gramEnd"/>
      <w:r w:rsidRPr="00AF67B4">
        <w:rPr>
          <w:color w:val="000000"/>
          <w:sz w:val="22"/>
          <w:szCs w:val="22"/>
        </w:rPr>
        <w:t xml:space="preserve">) и не более 1/5 витрин площадью до 2 </w:t>
      </w:r>
      <w:proofErr w:type="spellStart"/>
      <w:r w:rsidRPr="00AF67B4">
        <w:rPr>
          <w:color w:val="000000"/>
          <w:sz w:val="22"/>
          <w:szCs w:val="22"/>
        </w:rPr>
        <w:t>кв.м</w:t>
      </w:r>
      <w:proofErr w:type="spellEnd"/>
      <w:r w:rsidRPr="00AF67B4">
        <w:rPr>
          <w:color w:val="000000"/>
          <w:sz w:val="22"/>
          <w:szCs w:val="22"/>
        </w:rPr>
        <w:t>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1.4.5. В композиционно-графическом решении вывесок в витринах допускается: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размещение информации исключительно в виде текста;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использование изображений фирменных знаков и торговых марок.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lastRenderedPageBreak/>
        <w:t xml:space="preserve">1.4.6. Освещение витрин допускается при его соответствии СП 52.13330.2011 пунктам 7.98, 7.99, 7.100 (Витринное освещение), таблицам 30, 31 и должно иметь единое </w:t>
      </w:r>
      <w:proofErr w:type="gramStart"/>
      <w:r w:rsidRPr="00AF67B4">
        <w:rPr>
          <w:color w:val="000000"/>
          <w:sz w:val="22"/>
          <w:szCs w:val="22"/>
        </w:rPr>
        <w:t>свето-цветовое</w:t>
      </w:r>
      <w:proofErr w:type="gramEnd"/>
      <w:r w:rsidRPr="00AF67B4">
        <w:rPr>
          <w:color w:val="000000"/>
          <w:sz w:val="22"/>
          <w:szCs w:val="22"/>
        </w:rPr>
        <w:t xml:space="preserve"> решение.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1.5. Специальные требования к размещению и внешнему виду консольных вывесок и консольных указателей: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1.5.1. Консольные вывески размещаются в случае невозможности размещения настенных вывесок у арок, на границах и углах зданий, сооружений, а также при протяженной и сложной архитектурной линии фасада здания, сооружения в местах архитектурных членений фасада.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Размещение заинтересованным лицом настенной вывески исключает возможность размещения консольной вывески.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1.5.2. Типоразмеры консольных вывесок: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консольные вывески, информационное поле которых вертикально ориентировано по отношению к фасаду здания, сооружения и имеет соотношение ширины к высоте: 1 к 4; 1 к 5 (далее - вертикальные консольные вывески);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консольные вывески, информационное поле которых горизонтально ориентировано по отношению к фасаду здания, сооружения и имеет соотношение ширины к высоте: 1 к 1; 2 к 1; 3 к 2 (далее - малые консольные вывески).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Максимальная площадь одной стороны информационного поля малой консольной вывески составляет не более 1 </w:t>
      </w:r>
      <w:proofErr w:type="spellStart"/>
      <w:r w:rsidRPr="00AF67B4">
        <w:rPr>
          <w:color w:val="000000"/>
          <w:sz w:val="22"/>
          <w:szCs w:val="22"/>
        </w:rPr>
        <w:t>кв.м</w:t>
      </w:r>
      <w:proofErr w:type="spellEnd"/>
      <w:r w:rsidRPr="00AF67B4">
        <w:rPr>
          <w:color w:val="000000"/>
          <w:sz w:val="22"/>
          <w:szCs w:val="22"/>
        </w:rPr>
        <w:t>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1.5.3. Типоразмер консольных указателей: консольные указатели, информационное поле которых расположено перпендикулярно к поверхности стены и состоит из одного модульного светового блока или нескольких двусторонних модульных световых блоков, объединенных между собой (далее - блочные консольные указатели).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1.5.4. Не допускается размещения консольных вывесок, консольных указателей в пределах входной группы, определенной фасадным решением и композиционными приемами фасада здания, сооружения (в том числе - на портиках), играющей декоративную роль и состоящей из декоративных элементов фасада здания, сооружения.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Не допускается размещения консольных вывесок, консольных указателей над и под другими консольными вывесками, консольными указателями, а также на расстоянии менее 5 м от уличных часов.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1.5.5. Размещение малых консольных вывесок и блочных консольных указателей допускается: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не ниже 2,5 м от поверхности тротуара до нижнего края консоли;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между окнами первого и второго этажей на единой горизонтальной оси с настенными вывесками, а при их отсутствии - с координацией по нижнему краю консоли с имеющимися консольными вывесками;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до нижней отметки окон второго этажа при наличии в здании высокого цокольного или первого этажей;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при протяженной и сложной архитектурной линии фасада здания, сооружения в местах ее архитектурных членений;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у арок, на углах и границах фасадов зданий, сооружений.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1.5.6. Допускается размещение консольных вывесок, консольных указателей в пределах одного фасада здания, сооружения при одинаковом размере выступа внешнего края указанных консольных вывесок, консольных указателей.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1.5.7. Выступ внешнего края консольных вывесок, консольных указателей от стены здания, сооружения не может превышать 1,1 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1.5.8. Допускается размещение вертикальных консольных вывесок в пределах второго этажа, не ниже 4 м от поверхности тротуара до нижнего края консоли, но не выше 6 м до нижнего края консоли.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1.5.9. Установка консольных вывесок и консольных указателей в пределах одного фасада здания, сооружения или на стыках зданий допускается на расстоянии не менее 10 м друг от друга.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1.5.10. Не допускается размещения малых консольных вывесок, вертикальных консольных вывесок над и под другими малыми консольными вывесками, вертикальными консольными вывесками, над и под блочными консольными указателями, а также на расстоянии менее 10 м друг от друга.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1.5.11. Объемно-пространственное решение консольных вывесок, консольных указателей включает: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конструкцию из металла (несущая конструкция, кронштейны, </w:t>
      </w:r>
      <w:proofErr w:type="spellStart"/>
      <w:r w:rsidRPr="00AF67B4">
        <w:rPr>
          <w:color w:val="000000"/>
          <w:sz w:val="22"/>
          <w:szCs w:val="22"/>
        </w:rPr>
        <w:t>металлодекор</w:t>
      </w:r>
      <w:proofErr w:type="spellEnd"/>
      <w:r w:rsidRPr="00AF67B4">
        <w:rPr>
          <w:color w:val="000000"/>
          <w:sz w:val="22"/>
          <w:szCs w:val="22"/>
        </w:rPr>
        <w:t>);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информационный блок или несколько блоков.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1.5.12. Размещение информации заинтересованного лица допускается не более чем на одной малой консольной вывеске, или на вертикальной консольной вывеске, или на одном блоке блочного консольного указателя в пределах фасада здания, сооружения, где располагается помещение заинтересованного лица.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1.5.13. Композиционно-графическое решение консольных вывесок, консольных указателей включает: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композиционно-графическое решение конструкции из металла;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композиционно-графическое решение информационного блока, в том числе - фон информационного блока, шрифтовая композиция размещаемой информац</w:t>
      </w:r>
      <w:proofErr w:type="gramStart"/>
      <w:r w:rsidRPr="00AF67B4">
        <w:rPr>
          <w:color w:val="000000"/>
          <w:sz w:val="22"/>
          <w:szCs w:val="22"/>
        </w:rPr>
        <w:t>ии и ее</w:t>
      </w:r>
      <w:proofErr w:type="gramEnd"/>
      <w:r w:rsidRPr="00AF67B4">
        <w:rPr>
          <w:color w:val="000000"/>
          <w:sz w:val="22"/>
          <w:szCs w:val="22"/>
        </w:rPr>
        <w:t xml:space="preserve"> декоративное оформление (при наличии).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1.5.14. Цветовое решение консольных вывесок, консольных указателей: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1.5.14.1. Допустимые цвета фона информационного блока: RAL (9010); RAL (9016); RAL (1013); RAL (9001); RAL (1015).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1.5.14.2. Допустимые цвета для конструкции из металла: RAL (7023); RAL (7024).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1.5.15. В случае размещения консольных вывесок, консольных указателей на рустованной поверхности стены, крепление осуществляется в руст.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1.6. Специальные требования к размещению и внешнему виду отнесенных вывесок: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1.6.1. Размещение отнесенных вывесок допускается при условии отсутствия возможности размещения настенной вывески над окнами или входом занимаемого заинтересованным лицом помещения либо отсутствия визуальной доступности места размещения настенной вывески.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1.6.2. Отнесенные вывески размещаются на боковых фасадах зданий, сооружений, брандмауэрах.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1.6.3. Размещение отнесенных вывесок на лицевом фасаде здания не допускается.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1.6.4. Обязательной частью композиционно-графического решения отнесенной вывески является наличие элемента навигации (указание на местонахождение).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1.6.5. К внешнему виду отнесенных вывесок предъявляются требования, установленные в пункте 1.3 настоящего приложения.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1.7. Специальные требования к размещению и внешнему виду настенных указателей: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1.7.1. Настенные указатели размещаются на боковых фасадах зданий, сооружений, брандмауэрах.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1.7.2. Настенный блочный указатель устанавливается в границах входной группы, непосредственно у входа (справа или слева) в помещение, занимаемое заинтересованными организациями, заинтересованным индивидуальным предпринимателем, или на входных дверях в него, но не выше уровня верхнего края дверного проема.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1.7.3. В случае</w:t>
      </w:r>
      <w:proofErr w:type="gramStart"/>
      <w:r w:rsidRPr="00AF67B4">
        <w:rPr>
          <w:color w:val="000000"/>
          <w:sz w:val="22"/>
          <w:szCs w:val="22"/>
        </w:rPr>
        <w:t>,</w:t>
      </w:r>
      <w:proofErr w:type="gramEnd"/>
      <w:r w:rsidRPr="00AF67B4">
        <w:rPr>
          <w:color w:val="000000"/>
          <w:sz w:val="22"/>
          <w:szCs w:val="22"/>
        </w:rPr>
        <w:t xml:space="preserve"> если организации находятся во дворе, допускается размещение настенного блочного указателя вблизи арочных проездов или на откосах арки.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1.7.4. Обязательной частью композиционно-графического решения настенного указателя является наличие элемента навигации (указание на местонахождение, направление движения).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1.7.5. К внешнему виду настенных указателей, консольных блочных указателей предъявляются требования, установленные в пункте 1.3 настоящего приложения.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1.7.6. Настенный блочный указатель должен состоять из блоков, одинаковых по размеру и имеющих единый цвет фона и масштаб графической композиции информационного поля.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lastRenderedPageBreak/>
        <w:t>1.7.7. Габариты настенного блочного указателя определяются с учетом мест размещения на фасаде (руст, ниша, гладь стены) и не должны превышать 1,2 м по высоте и 0,7 м по ширине.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1.7.8. К внешнему виду настенных блочных указателей предъявляются требования, установленные в пунктах 1.8.8 и 1.8.9 настоящего приложения.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1.8. Специальные требования к размещению и внешнему виду меню: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1.8.1. Меню размещается на плоских участках фасада здания, сооружения, свободных от декоративных элементов фасада здания, сооружения, непосредственно у входа (справа или слева) в помещение, занимаемое заинтересованным лицом или на входных дверях в него, не выше уровня верхнего края дверного проема.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1.8.2. В случае</w:t>
      </w:r>
      <w:proofErr w:type="gramStart"/>
      <w:r w:rsidRPr="00AF67B4">
        <w:rPr>
          <w:color w:val="000000"/>
          <w:sz w:val="22"/>
          <w:szCs w:val="22"/>
        </w:rPr>
        <w:t>,</w:t>
      </w:r>
      <w:proofErr w:type="gramEnd"/>
      <w:r w:rsidRPr="00AF67B4">
        <w:rPr>
          <w:color w:val="000000"/>
          <w:sz w:val="22"/>
          <w:szCs w:val="22"/>
        </w:rPr>
        <w:t xml:space="preserve"> если один вход в здание, сооружение обеспечивает проход к нескольким организациям (более одной), а также в случае, если во дворе здания, сооружения размещается несколько организаций (более одной), допускается размещение информации только в составе блочного настенного указателя.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1.8.3. Допускается размещение не более одного меню у входа в занимаемое помещение.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1.8.4. В случае</w:t>
      </w:r>
      <w:proofErr w:type="gramStart"/>
      <w:r w:rsidRPr="00AF67B4">
        <w:rPr>
          <w:color w:val="000000"/>
          <w:sz w:val="22"/>
          <w:szCs w:val="22"/>
        </w:rPr>
        <w:t>,</w:t>
      </w:r>
      <w:proofErr w:type="gramEnd"/>
      <w:r w:rsidRPr="00AF67B4">
        <w:rPr>
          <w:color w:val="000000"/>
          <w:sz w:val="22"/>
          <w:szCs w:val="22"/>
        </w:rPr>
        <w:t xml:space="preserve"> если помещение, занимаемое заинтересованным лицом, имеет протяженность более 25 м, допускается размещение нескольких меню с расстоянием между ними не менее 25 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1.8.5. Габариты меню не должны превышать 0,80 м по высоте и 0,60 м по ширине.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Допустимые габариты меню определяются в зависимости от </w:t>
      </w:r>
      <w:proofErr w:type="gramStart"/>
      <w:r w:rsidRPr="00AF67B4">
        <w:rPr>
          <w:color w:val="000000"/>
          <w:sz w:val="22"/>
          <w:szCs w:val="22"/>
        </w:rPr>
        <w:t>архитектурного решения</w:t>
      </w:r>
      <w:proofErr w:type="gramEnd"/>
      <w:r w:rsidRPr="00AF67B4">
        <w:rPr>
          <w:color w:val="000000"/>
          <w:sz w:val="22"/>
          <w:szCs w:val="22"/>
        </w:rPr>
        <w:t xml:space="preserve"> фасада здания, сооружения, на котором устанавливается данная конструкция.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1.8.6. В случае размещения меню на рустованной поверхности фасада высота меню не должна превышать двух высот </w:t>
      </w:r>
      <w:proofErr w:type="spellStart"/>
      <w:r w:rsidRPr="00AF67B4">
        <w:rPr>
          <w:color w:val="000000"/>
          <w:sz w:val="22"/>
          <w:szCs w:val="22"/>
        </w:rPr>
        <w:t>квадра</w:t>
      </w:r>
      <w:proofErr w:type="spellEnd"/>
      <w:r w:rsidRPr="00AF67B4">
        <w:rPr>
          <w:color w:val="000000"/>
          <w:sz w:val="22"/>
          <w:szCs w:val="22"/>
        </w:rPr>
        <w:t>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1.8.7. Толщина меню не должна превышать 50 мм.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1.8.8. В композиционно-графическом решении меню допускается: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размещение информации исключительно в виде текста;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использование изображений фирменных знаков и торговых марок.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1.8.9. Цветовое решение фона информационного поля меню и цветовое решение конструкции должны соответствовать цвету фасада здания, сооружения.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1.9. Требования к размещению и внешнему виду пилонов автозаправочных станций, пилонов автодилеров, отдельно стоящих указателей, информационных стендов (далее - отдельно стоящие элементы):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1.9.1. При размещении отдельно стоящих элементов, планируемых к размещению в одном направлении (на одной стороне проезда, улицы, магистрали, одном разделительном газоне) и предназначенных для обзора с одного направления: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расстояние от края отдельно стоящего элемента до фасада ближайшего здания, сооружения или его любого конструктивного элемента, а также ограждения должно составлять не менее 3 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расстояние от края отдельно стоящего элемента до края проезжей части должно составлять не менее 0,6 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1.9.2. Расстояние между отдельно стоящими элементами по отношению ко всем другим отдельно стоящим объектам наружной рекламы и информации должно составлять не менее 25 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Максимальная высота отдельно стоящих элементов для территории, на которой расположены объекты жилой застройки, составляет 10 м, в остальных случаях - 18 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1.9.3. Запрещается размещение отдельно стоящих элементов: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в радиусе 50 м от границ территорий кладбищ;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под эстакадами транспортных развязок, перекрывающих обзор сформированного ландшафта;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на тротуарах, за исключением элементов городской ориентирующей информации.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1.9.4. Запрещается размещение отдельно стоящих элементов, ограничивающих видимость объектов, предназначенных для организации дорожного движения, а также на подпорных стенах, деревьях, скалах и других природных объектах ближе 25 м от остановок маршрутных транспортных средств.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Запрещается размещение отдельно стоящих элементов, перекрывающих знаки адресации, в непосредственной близости к другим отдельно стоящим объектам наружной рекламы и информации, в результате которой происходит визуальное объединение их информационных (рекламных) полей.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1.9.5. Запрещается размещение отдельно стоящих элементов путем нанесения либо вкрапления с использованием строительных материалов, краски дорожной разметки на поверхности автомобильных дорог и улиц.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1.9.6. Фундаменты отдельно стоящих элементов должны быть заглублены на 15-20 см ниже уровня грунта с последующим восстановлением газона (дорожного покрытия) на месте установки.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1.9.7. Использование воздушных коммуникаций для подключения отдельно стоящих элементов к линиям электропередач не допускается.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1.9.8. Информационное поле (торцы, стороны) отдельно стоящего элемента, не предназначенное для размещения изображения, информации, подлежит обязательному укрытию (декорированию).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1.9.9. Внешний вид отдельно стоящего элемента определяется: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архитектурным обликом Санкт-Петербурга, эстетическим состоянием Санкт-Петербурга;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архитектурно-градостроительным обликом объектов, окружающих отдельно стоящий элемент;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смысловым содержанием размещаемой информации.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1.9.10. Не допускается аналогии (визуального сходства) внешнего вида отдельно стоящего элемента с внешним видом технического средства организации дорожного движения.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1.9.11. Электрооборудование, обеспечивающее эксплуатацию отдельно стоящих элементов, подлежит монтажу внутри опоры.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1.9.12. При размещении отдельно стоящего элемента допускается использование </w:t>
      </w:r>
      <w:proofErr w:type="spellStart"/>
      <w:r w:rsidRPr="00AF67B4">
        <w:rPr>
          <w:color w:val="000000"/>
          <w:sz w:val="22"/>
          <w:szCs w:val="22"/>
        </w:rPr>
        <w:t>светодинамической</w:t>
      </w:r>
      <w:proofErr w:type="spellEnd"/>
      <w:r w:rsidRPr="00AF67B4">
        <w:rPr>
          <w:color w:val="000000"/>
          <w:sz w:val="22"/>
          <w:szCs w:val="22"/>
        </w:rPr>
        <w:t xml:space="preserve"> подсветки в режимах плавного замедленного изменения цветов и силы света с обязательным понижением светосилы с 23 часов вечера до 7 часов утра.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1.9.13. Запрещается использование в составе отдельно стоящих элементов: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светодиодных табло, за исключением светодиодных табло в составе автозаправочных станций;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конструкций типа "бегущая строка".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1.9.14. Не допускается размещение отдельно стоящих элементов из винилового и иного полотна без использования несущей конструкции (металлического каркаса), обеспечивающей равномерную плотность натяжения.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1.10. Требования к размещению и внешнему виду вывесок на крышах: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1.10.1. Размещение вывесок на крыше допускается на магистралях и площадях с благоприятными условиями визуального восприятия, на зданиях, не имеющих выразительного силуэта.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1.10.2. Размещение вывесок на крыше допускается только в случае, если здание принадлежит заинтересованному лицу на праве собственности.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На крыше здания, сооружения допускается размещение не более одной вывески на крыше в одной плоскости фасада здания, сооружения с учетом требований пункта 1.10.1 настоящего приложения.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1.10.3. Размещение нескольких вывесок на крышах зданий торговых комплексов допускается в случае, если указанные вывески предусмотрены проектом благоустройства, согласованным с Комитетом по градостроительству и архитектуре, с учетом требований пункта 1.10.1 настоящего приложения.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1.10.4. При неравномерной высоте застройки размещение вывесок на крышах зданий, сооружений должно осуществляться на здании или на части здания, имеющей меньшую высоту.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lastRenderedPageBreak/>
        <w:t>1.10.5. Установка вывесок на крышах зданий, сооружений должна осуществляться на расстоянии не более 1,0 м от карниза и не менее 1,0 м от края кровли в глубину, если это не противоречит архитектурно-градостроительному облику здания, сооружения.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1.10.6. Не допускается размещения вывесок на крышах: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зданий, сооружений в границах архитектурных ансамблей, водных панорам;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вертикальных доминант с ущербом силуэтным и пластическим характеристикам фасада, изменением сложившегося силуэта застройки;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жилых зданий;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с креплением на балюстрады, декоративные ограждения кровли.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1.10.7 Размещение вывесок на крышах зданий, сооружений допускается только в виде отдельных букв, обозначений и элементов без использования фоновой основы.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1.10.8. Вывески на крышах зданий, сооружений, должны размещаться в соответствии с вертикальными членениями фасада и быть соразмерными фасаду.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1.10.9. Габариты вывесок на крышах зданий, сооружений должны соответствовать пунктам 1.10.10-1.10.12 настоящего приложения.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1.10.10. Высота вывесок на крышах: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не более 0,80 м для 1-2 этажных объектов;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не более 1,20 м для 3-5 этажных объектов;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не более 1,80 м для 6-9 этажных объектов;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не более 2,20 м для 10-15 этажных объектов;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не более 3 м - для объектов, имеющих 16 и более этажей.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1.10.11. Ширина вывесок на крыше здания, сооружения не может превышать половину ширины фасада здания, сооружения, на котором они размещены.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1.10.12. Габариты вывесок на крышах зданий, сооружений, рассматриваются с учетом </w:t>
      </w:r>
      <w:proofErr w:type="gramStart"/>
      <w:r w:rsidRPr="00AF67B4">
        <w:rPr>
          <w:color w:val="000000"/>
          <w:sz w:val="22"/>
          <w:szCs w:val="22"/>
        </w:rPr>
        <w:t>свето-цветового</w:t>
      </w:r>
      <w:proofErr w:type="gramEnd"/>
      <w:r w:rsidRPr="00AF67B4">
        <w:rPr>
          <w:color w:val="000000"/>
          <w:sz w:val="22"/>
          <w:szCs w:val="22"/>
        </w:rPr>
        <w:t xml:space="preserve"> решения указанных конструкций.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1.11. Специальные требования к размещению и внешнему виду информационных щитов: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1.11.1. Информационные щиты размещаются: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lastRenderedPageBreak/>
        <w:t>1.11.1.1. На ограждениях строительных площадок на период строительства, реконструкции, капитального ремонта.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1.11.1.2. В соответствии с требованиями, установленными в пункте 1.9 настоящего приложения, и относятся к отдельно стоящим элементам.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1.11.2. Допускается размещение информационных щитов на ограждении территории строительства, высота которых не превышает высоты ограждения.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1.11.3. Габариты информационного щита определяются с учетом габаритов секции ограждения и должны составлять в длину 2,5-5,0 м, в высоту 1,5-2,0 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1.11.4. На ограждении одной строительной площадки допускается размещение нескольких информационных щитов встык с максимальной общей длиной на одной магистрали, улице, проезде не более 30 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1.11.5. К композиционно-графическому решению информационного поля устанавливаются требования, определенные в пунктах 1.2.1-1.2.12 настоящего приложения.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1.11.6. Допускается размещение изображения возводимого объекта капитального строительства в составе общей площади изображения информационного щита в соотношении не более 20 процентов от общей площади графической композиции.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1.11.7. Допускается размещение текстового блока в составе изображения с информацией, обязательной к размещению в соответствии с федеральным законодательством.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1.11.8. Размер шрифтового блока с указанием номера телефона не должен превышать размеры названия возводимого объекта капитального строительства и логотипа компании застройщика и не должен превышать 1/3 высоты изображения.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1.12. Специальные требования к размещению и внешнему виду знаков адресации: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1.12.1. Знаки адресации размещаются: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на лицевом фасаде здания, сооружения - в простенке с правой стороны фасада;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на улицах с односторонним движением транспорта - на угловом участке фасада здания, сооружения, ближайшем по направлению движения транспорта;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на дворовых фасадах - в простенке со стороны внутриквартального проезда;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при длине фасада более 100 м - на его противоположных угловых участках;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на ограждениях и корпусах промышленных предприятий - справа от главного входа, въезда;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на высоте от поверхности земли - 2,5-3,5 м, за исключением случаев, когда указанная высота не </w:t>
      </w:r>
      <w:r w:rsidRPr="00AF67B4">
        <w:rPr>
          <w:color w:val="000000"/>
          <w:sz w:val="22"/>
          <w:szCs w:val="22"/>
        </w:rPr>
        <w:lastRenderedPageBreak/>
        <w:t>обеспечивает зрительного восприятия знаков адресации с дальних дистанций;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на участке фасада, свободном от выступающих архитектурных деталей и элементов декора, за исключением отделки фасада;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на единой вертикальной отметке размещения знаков адресации на соседних фасадах зданий, сооружений при формировании ими единой линии фронта застройки.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1.12.2. Указатели наименования улицы, площади с обозначением нумерации домов на участке улицы, в квартале размещаются: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у перекрестка улиц в простенке на угловом участке фасада;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при размещении рядом с номерным знаком - на единой вертикальной оси над номерным знаком.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1.12.3. Таблички, обозначающие номера подъездов и квартир в них, размещаются над дверным проемом или на импосте заполнения дверного проема (горизонтальная табличка) или справа от дверного проема на высоте 2,0-2,5 м (вертикальная табличка).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1.12.4. Номерные знаки, обозначающие номера домов, размещаются совместно с указателями названий улицы, площади.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2. </w:t>
      </w:r>
      <w:proofErr w:type="gramStart"/>
      <w:r w:rsidRPr="00AF67B4">
        <w:rPr>
          <w:color w:val="000000"/>
        </w:rPr>
        <w:t>Требования к внешнему виду и размещению наружной рекламы (рекламных конструкций), включая щиты, стенды, строительные сетки, перетяжки, электронные табло, проекционное и иное предназначенное для проекции рекламы на любые поверхности оборудование, воздушные шары, аэростаты и иные технические средства стабильного территориального размещения, монтируемые и располагаемые на внешних стенах, крышах и иных конструктивных элементах зданий, сооружений или вне их, а также остановочных пунктов движения</w:t>
      </w:r>
      <w:proofErr w:type="gramEnd"/>
      <w:r w:rsidRPr="00AF67B4">
        <w:rPr>
          <w:color w:val="000000"/>
        </w:rPr>
        <w:t xml:space="preserve"> общественного транспорта 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2.1. На территории Санкт-Петербурга допускается установка следующих видов рекламных конструкций: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отдельно стоящие рекламные конструкции;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рекламные конструкции, размещаемые на зданиях, строениях, сооружениях;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временные рекламные конструкции.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2.2. </w:t>
      </w:r>
      <w:proofErr w:type="gramStart"/>
      <w:r w:rsidRPr="00AF67B4">
        <w:rPr>
          <w:color w:val="000000"/>
          <w:sz w:val="22"/>
          <w:szCs w:val="22"/>
        </w:rPr>
        <w:t>Рекламные конструкции, типы и виды которых допускаются к размещению на земельных участках независимо от форм собственности, а также на зданиях или ином недвижимом имуществе, находящихся в государственной собственности Санкт-Петербурга, определяются в Схеме размещения рекламных конструкций на земельных участках независимо от форм собственности, а также на зданиях или ином недвижимом имуществе, находящихся в государственной собственности Санкт-Петербурга, утвержденной постановлением Правительства Санкт-Петербурга от</w:t>
      </w:r>
      <w:proofErr w:type="gramEnd"/>
      <w:r w:rsidRPr="00AF67B4">
        <w:rPr>
          <w:color w:val="000000"/>
          <w:sz w:val="22"/>
          <w:szCs w:val="22"/>
        </w:rPr>
        <w:t xml:space="preserve"> 17.04.2014 N 266.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2.3. К размещению на зданиях, строениях, сооружениях допускаются временные рекламные конструкции - строительные сетки.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2.4. Общие требования к внешнему виду и размещению рекламных конструкций: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2.4.1. Внешний вид рекламных конструкций определяется: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конструктивным решением;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форматом информационного (рекламного) поля (стороны).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2.4.2. В зависимости от размера информационного поля рекламные конструкции подразделяются на поля: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площадь одного информационного (рекламного) поля (стороны) от 2,16 </w:t>
      </w:r>
      <w:proofErr w:type="spellStart"/>
      <w:r w:rsidRPr="00AF67B4">
        <w:rPr>
          <w:color w:val="000000"/>
          <w:sz w:val="22"/>
          <w:szCs w:val="22"/>
        </w:rPr>
        <w:t>кв</w:t>
      </w:r>
      <w:proofErr w:type="gramStart"/>
      <w:r w:rsidRPr="00AF67B4">
        <w:rPr>
          <w:color w:val="000000"/>
          <w:sz w:val="22"/>
          <w:szCs w:val="22"/>
        </w:rPr>
        <w:t>.м</w:t>
      </w:r>
      <w:proofErr w:type="spellEnd"/>
      <w:proofErr w:type="gramEnd"/>
      <w:r w:rsidRPr="00AF67B4">
        <w:rPr>
          <w:color w:val="000000"/>
          <w:sz w:val="22"/>
          <w:szCs w:val="22"/>
        </w:rPr>
        <w:t xml:space="preserve"> включительно и до 4,2 </w:t>
      </w:r>
      <w:proofErr w:type="spellStart"/>
      <w:r w:rsidRPr="00AF67B4">
        <w:rPr>
          <w:color w:val="000000"/>
          <w:sz w:val="22"/>
          <w:szCs w:val="22"/>
        </w:rPr>
        <w:t>кв.м</w:t>
      </w:r>
      <w:proofErr w:type="spellEnd"/>
      <w:r w:rsidRPr="00AF67B4">
        <w:rPr>
          <w:color w:val="000000"/>
          <w:sz w:val="22"/>
          <w:szCs w:val="22"/>
        </w:rPr>
        <w:t xml:space="preserve"> включительно (далее - рекламные конструкции малых форматов);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площадь одного информационного (рекламного) поля (стороны) от 4,2 </w:t>
      </w:r>
      <w:proofErr w:type="spellStart"/>
      <w:r w:rsidRPr="00AF67B4">
        <w:rPr>
          <w:color w:val="000000"/>
          <w:sz w:val="22"/>
          <w:szCs w:val="22"/>
        </w:rPr>
        <w:t>кв</w:t>
      </w:r>
      <w:proofErr w:type="gramStart"/>
      <w:r w:rsidRPr="00AF67B4">
        <w:rPr>
          <w:color w:val="000000"/>
          <w:sz w:val="22"/>
          <w:szCs w:val="22"/>
        </w:rPr>
        <w:t>.м</w:t>
      </w:r>
      <w:proofErr w:type="spellEnd"/>
      <w:proofErr w:type="gramEnd"/>
      <w:r w:rsidRPr="00AF67B4">
        <w:rPr>
          <w:color w:val="000000"/>
          <w:sz w:val="22"/>
          <w:szCs w:val="22"/>
        </w:rPr>
        <w:t xml:space="preserve"> включительно и до 9,36 </w:t>
      </w:r>
      <w:proofErr w:type="spellStart"/>
      <w:r w:rsidRPr="00AF67B4">
        <w:rPr>
          <w:color w:val="000000"/>
          <w:sz w:val="22"/>
          <w:szCs w:val="22"/>
        </w:rPr>
        <w:t>кв.м</w:t>
      </w:r>
      <w:proofErr w:type="spellEnd"/>
      <w:r w:rsidRPr="00AF67B4">
        <w:rPr>
          <w:color w:val="000000"/>
          <w:sz w:val="22"/>
          <w:szCs w:val="22"/>
        </w:rPr>
        <w:t xml:space="preserve"> включительно (далее - рекламные конструкции средних форматов);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площадь одного информационного (рекламного) поля (стороны) более 9,36 </w:t>
      </w:r>
      <w:proofErr w:type="spellStart"/>
      <w:r w:rsidRPr="00AF67B4">
        <w:rPr>
          <w:color w:val="000000"/>
          <w:sz w:val="22"/>
          <w:szCs w:val="22"/>
        </w:rPr>
        <w:t>кв</w:t>
      </w:r>
      <w:proofErr w:type="gramStart"/>
      <w:r w:rsidRPr="00AF67B4">
        <w:rPr>
          <w:color w:val="000000"/>
          <w:sz w:val="22"/>
          <w:szCs w:val="22"/>
        </w:rPr>
        <w:t>.м</w:t>
      </w:r>
      <w:proofErr w:type="spellEnd"/>
      <w:proofErr w:type="gramEnd"/>
      <w:r w:rsidRPr="00AF67B4">
        <w:rPr>
          <w:color w:val="000000"/>
          <w:sz w:val="22"/>
          <w:szCs w:val="22"/>
        </w:rPr>
        <w:t xml:space="preserve"> включительно и до 60 </w:t>
      </w:r>
      <w:proofErr w:type="spellStart"/>
      <w:r w:rsidRPr="00AF67B4">
        <w:rPr>
          <w:color w:val="000000"/>
          <w:sz w:val="22"/>
          <w:szCs w:val="22"/>
        </w:rPr>
        <w:t>кв.м</w:t>
      </w:r>
      <w:proofErr w:type="spellEnd"/>
      <w:r w:rsidRPr="00AF67B4">
        <w:rPr>
          <w:color w:val="000000"/>
          <w:sz w:val="22"/>
          <w:szCs w:val="22"/>
        </w:rPr>
        <w:t xml:space="preserve"> включительно (далее - рекламные конструкции крупных форматов);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площадь одного информационного (рекламного) поля (стороны) от 60 </w:t>
      </w:r>
      <w:proofErr w:type="spellStart"/>
      <w:r w:rsidRPr="00AF67B4">
        <w:rPr>
          <w:color w:val="000000"/>
          <w:sz w:val="22"/>
          <w:szCs w:val="22"/>
        </w:rPr>
        <w:t>кв</w:t>
      </w:r>
      <w:proofErr w:type="gramStart"/>
      <w:r w:rsidRPr="00AF67B4">
        <w:rPr>
          <w:color w:val="000000"/>
          <w:sz w:val="22"/>
          <w:szCs w:val="22"/>
        </w:rPr>
        <w:t>.м</w:t>
      </w:r>
      <w:proofErr w:type="spellEnd"/>
      <w:proofErr w:type="gramEnd"/>
      <w:r w:rsidRPr="00AF67B4">
        <w:rPr>
          <w:color w:val="000000"/>
          <w:sz w:val="22"/>
          <w:szCs w:val="22"/>
        </w:rPr>
        <w:t xml:space="preserve"> включительно и более (далее - рекламные конструкции особо крупных форматов).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2.5. Максимальная высота рекламных конструкций для территории, на которой расположены объекты жилой застройки, составляет 10 м, в остальных случаях - 18 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2.6. При размещении рекламных конструкций, планируемых к размещению в одном направлении (на одной стороне проезда, улицы, магистрали, одном разделительном газоне) и предназначенных для обзора с одного направления: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2.6.1. Расстояние от края информационного поля рекламной конструкции до фасада ближайшего здания, сооружения или его любого конструктивного элемента, а также ограждения должно обеспечивать ширину свободного прохода не менее 3 м и составлять: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для рекламных конструкций малого формата не менее 3 м, за исключением рекламных конструкций малого формата, совмещенных с павильонами ожидания городского пассажирского транспорта;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для рекламных конструкций среднего и крупного формата не менее 6 м,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для рекламных конструкций особо крупного формата не менее 12 м;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2.6.2. Расстояние от края рекламной конструкции любого формата до края проезжей части должно составлять не менее 0,6 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2.7. Расстояние между рекламными конструкциями малых форматов по отношению ко всем другим отдельно стоящим рекламным конструкциям должно составлять не менее 50 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lastRenderedPageBreak/>
        <w:t>2.8. Расстояние между рекламными конструкциями средних и крупных форматов по отношению к другим рекламным конструкциям средних и крупных форматов должно составлять не менее 100 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2.9. Расстояние между рекламными конструкциями особо крупных форматов по отношению к другим рекламным конструкциям особо крупных форматов должно составлять не менее 500 м, по отношению к рекламным конструкциям средних и крупных форматов - не менее 200 м, по отношению к рекламным конструкциям малых форматов - не менее 50 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2.10. Запрещается размещение рекламных конструкций: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на лицевых фасадах, крышах зданий, сооружений;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на ограждениях, объектах для размещения информации, опорах стационарного электрического освещения и на опорах контактной сети, оборудовании, архитектурных деталях и конструктивных элементах фасадов, элементах декора фасадов;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в радиусе 50 м от границ территорий кладбищ;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с нарушением единой объемно-пространственной композиции площадей и скверов;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на путепроводах транспортных развязок.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2.11. При размещении рекламных конструкций разрешается использование </w:t>
      </w:r>
      <w:proofErr w:type="spellStart"/>
      <w:r w:rsidRPr="00AF67B4">
        <w:rPr>
          <w:color w:val="000000"/>
          <w:sz w:val="22"/>
          <w:szCs w:val="22"/>
        </w:rPr>
        <w:t>светодинамической</w:t>
      </w:r>
      <w:proofErr w:type="spellEnd"/>
      <w:r w:rsidRPr="00AF67B4">
        <w:rPr>
          <w:color w:val="000000"/>
          <w:sz w:val="22"/>
          <w:szCs w:val="22"/>
        </w:rPr>
        <w:t xml:space="preserve"> подсветки в режимах плавного замедленного изменения цветов и силы света с обязательным понижением светосилы с 23 часов вечера до 7 часов утра.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2.12. Окраска элементов обрамления информационного поля типовых рекламных конструкций на фасаде здания, сооружения (кроме лицевых фасадов) для светлых колеров фасадов зданий, сооружений - RAL 7023, 7035 или аналог в другой цветовой системе, для темных колеров фасадов зданий, сооружений - RAL 7024, 6005 или аналог в другой цветовой системе.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2.13. Укрытие (декорирование) не предназначенных для размещения информационных полей (торцов, сторон) отдельно стоящих рекламных конструкций является обязательным.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2.14. При размещении отдельно стоящих рекламных конструкций запрещается использование воздушных линий электропередачи.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2.15. При размещении отдельно стоящих рекламных конструкций в окраске конструктивных элементов и обрамления информационного поля следует использовать: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для </w:t>
      </w:r>
      <w:proofErr w:type="spellStart"/>
      <w:r w:rsidRPr="00AF67B4">
        <w:rPr>
          <w:color w:val="000000"/>
          <w:sz w:val="22"/>
          <w:szCs w:val="22"/>
        </w:rPr>
        <w:t>лайтпостеров</w:t>
      </w:r>
      <w:proofErr w:type="spellEnd"/>
      <w:r w:rsidRPr="00AF67B4">
        <w:rPr>
          <w:color w:val="000000"/>
          <w:sz w:val="22"/>
          <w:szCs w:val="22"/>
        </w:rPr>
        <w:t>, дисплеев (электронное табло) - RAL 7024 или аналог в другой цветовой системе; для стенда для размещения театральных афиш - RAL 7024, RAL 6005 или аналог в другой цветовой системе, цвет декоративных элементов (шары) - золото, бронза;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для </w:t>
      </w:r>
      <w:proofErr w:type="spellStart"/>
      <w:r w:rsidRPr="00AF67B4">
        <w:rPr>
          <w:color w:val="000000"/>
          <w:sz w:val="22"/>
          <w:szCs w:val="22"/>
        </w:rPr>
        <w:t>ситибордов</w:t>
      </w:r>
      <w:proofErr w:type="spellEnd"/>
      <w:r w:rsidRPr="00AF67B4">
        <w:rPr>
          <w:color w:val="000000"/>
          <w:sz w:val="22"/>
          <w:szCs w:val="22"/>
        </w:rPr>
        <w:t xml:space="preserve">, </w:t>
      </w:r>
      <w:proofErr w:type="spellStart"/>
      <w:r w:rsidRPr="00AF67B4">
        <w:rPr>
          <w:color w:val="000000"/>
          <w:sz w:val="22"/>
          <w:szCs w:val="22"/>
        </w:rPr>
        <w:t>лайтпостеров</w:t>
      </w:r>
      <w:proofErr w:type="spellEnd"/>
      <w:r w:rsidRPr="00AF67B4">
        <w:rPr>
          <w:color w:val="000000"/>
          <w:sz w:val="22"/>
          <w:szCs w:val="22"/>
        </w:rPr>
        <w:t>, остановочных пунктов движения общественного транспорта с рекламными конструкциями, щитов - RAL 7023 или аналог в другой цветовой системе;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для </w:t>
      </w:r>
      <w:proofErr w:type="spellStart"/>
      <w:r w:rsidRPr="00AF67B4">
        <w:rPr>
          <w:color w:val="000000"/>
          <w:sz w:val="22"/>
          <w:szCs w:val="22"/>
        </w:rPr>
        <w:t>суперсайтов</w:t>
      </w:r>
      <w:proofErr w:type="spellEnd"/>
      <w:r w:rsidRPr="00AF67B4">
        <w:rPr>
          <w:color w:val="000000"/>
          <w:sz w:val="22"/>
          <w:szCs w:val="22"/>
        </w:rPr>
        <w:t xml:space="preserve">, </w:t>
      </w:r>
      <w:proofErr w:type="spellStart"/>
      <w:r w:rsidRPr="00AF67B4">
        <w:rPr>
          <w:color w:val="000000"/>
          <w:sz w:val="22"/>
          <w:szCs w:val="22"/>
        </w:rPr>
        <w:t>биллбордов</w:t>
      </w:r>
      <w:proofErr w:type="spellEnd"/>
      <w:r w:rsidRPr="00AF67B4">
        <w:rPr>
          <w:color w:val="000000"/>
          <w:sz w:val="22"/>
          <w:szCs w:val="22"/>
        </w:rPr>
        <w:t>, щитов магистральных - RAL 7035 или аналог в другой цветовой системе.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2.16. Требования к размещению и внешнему виду строительных сеток: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2.16.1. Внешний вид строительных сеток: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2.16.1.1. Фон изображения должен имитировать фасад строящегося, реконструируемого, ремонтируемого здания, сооружения во фронтальной проекции в масштабе 1:1 в соответствии с колерным бланком.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2.16.1.2. В случае невозможности имитации фасада строящегося, реконструируемого, ремонтируемого здания, сооружения в качестве фона допускается использовать изображение фасада здания, сооружения, максимально совпадающего со </w:t>
      </w:r>
      <w:proofErr w:type="gramStart"/>
      <w:r w:rsidRPr="00AF67B4">
        <w:rPr>
          <w:color w:val="000000"/>
          <w:sz w:val="22"/>
          <w:szCs w:val="22"/>
        </w:rPr>
        <w:t>строящимся</w:t>
      </w:r>
      <w:proofErr w:type="gramEnd"/>
      <w:r w:rsidRPr="00AF67B4">
        <w:rPr>
          <w:color w:val="000000"/>
          <w:sz w:val="22"/>
          <w:szCs w:val="22"/>
        </w:rPr>
        <w:t>, реконструируемым, ремонтируемым по этажности, цвету и расположению архитектурных элементов.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2.16.1.3. Рекламное изображение, включенное в композицию имитирующего фасад изображения, должно составлять не более 10 процентов от общей площади изображения на одном фасаде.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2.16.2. Не допускается использования винилового и иного полотна, </w:t>
      </w:r>
      <w:proofErr w:type="gramStart"/>
      <w:r w:rsidRPr="00AF67B4">
        <w:rPr>
          <w:color w:val="000000"/>
          <w:sz w:val="22"/>
          <w:szCs w:val="22"/>
        </w:rPr>
        <w:t>монтируемых</w:t>
      </w:r>
      <w:proofErr w:type="gramEnd"/>
      <w:r w:rsidRPr="00AF67B4">
        <w:rPr>
          <w:color w:val="000000"/>
          <w:sz w:val="22"/>
          <w:szCs w:val="22"/>
        </w:rPr>
        <w:t xml:space="preserve"> непосредственно на фасад здания, сооружения или на их конструктивные элементы, в том числе временные, без использования несущей конструкции (металлического каркаса).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Приложение N 7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 Правилам благоустройства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территории Санкт-Петербурга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в части, касающейся </w:t>
      </w:r>
      <w:proofErr w:type="gramStart"/>
      <w:r w:rsidRPr="00AF67B4">
        <w:rPr>
          <w:color w:val="000000"/>
          <w:sz w:val="22"/>
          <w:szCs w:val="22"/>
        </w:rPr>
        <w:t>эстетических</w:t>
      </w:r>
      <w:proofErr w:type="gramEnd"/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регламентов объектов благоустройства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и элементов благоустройства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>Эстетический регламент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>иных некапитальных объектов</w:t>
      </w:r>
    </w:p>
    <w:p w:rsidR="00F36037" w:rsidRPr="00AF67B4" w:rsidRDefault="00F36037">
      <w:pPr>
        <w:pStyle w:val="Heading"/>
        <w:jc w:val="center"/>
        <w:rPr>
          <w:color w:val="000000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1. Требования к внешнему виду и размещению нестационарных торговых объектов, включая павильоны, палатки, киоски, тележки, лотки, торговые автоматы, передвижные средства развозной торговли, газетные модули, сооружения в виде натяжных на сборном каркасе тентов для сезонной торговли, временные сооружения, предназначенные для размещения сезонных объектов общественного питания, информационно-торговые мобильные объекты 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1.1. При размещении нестационарных торговых объектов площадью до 30 </w:t>
      </w:r>
      <w:proofErr w:type="spellStart"/>
      <w:r w:rsidRPr="00AF67B4">
        <w:rPr>
          <w:color w:val="000000"/>
          <w:sz w:val="22"/>
          <w:szCs w:val="22"/>
        </w:rPr>
        <w:t>кв</w:t>
      </w:r>
      <w:proofErr w:type="gramStart"/>
      <w:r w:rsidRPr="00AF67B4">
        <w:rPr>
          <w:color w:val="000000"/>
          <w:sz w:val="22"/>
          <w:szCs w:val="22"/>
        </w:rPr>
        <w:t>.м</w:t>
      </w:r>
      <w:proofErr w:type="spellEnd"/>
      <w:proofErr w:type="gramEnd"/>
      <w:r w:rsidRPr="00AF67B4">
        <w:rPr>
          <w:color w:val="000000"/>
          <w:sz w:val="22"/>
          <w:szCs w:val="22"/>
        </w:rPr>
        <w:t xml:space="preserve"> в случаях, при которых в соответствии с Правилами благоустройства территории Санкт-Петербурга проектирование благоустройства не осуществляется, подлежат использованию типовые внешние виды нестационарных торговых объектов согласно приложениям N 1-10 к настоящему Эстетическому регламенту иных некапитальных объектов (далее - Регламент).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 Типовой внешний вид павильонов и киосков представляет собой совокупность модульных секций согласно приложению N 1 к Регламенту.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1.3. Не допускается совокупность модульных секций из разделов 1, 2, 3 приложения N 1 к Регламенту.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1.4. Изменение габаритов модульных секций допустимо не более чем на 30 процентов.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1.5. Допускается использование типового внешнего вида киосков, установленного в приложении N 2 к Регламенту.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1.6. Типовой внешний вид палаток установлен в приложении N 3 к Регламенту.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1.7. Типовой внешний вид елочных базаров установлен в приложении N 4 к Регламенту.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1.8. Типовой внешний вид тележек установлен в приложении N 5 к Регламенту.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1.9. Типовой внешний вид сооружений в виде натяжных на сборном каркасе тентов для сезонной торговли установлен в приложении N 6 к Регламенту.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1.10. Типовой внешний вид передвижных средств развозной торговли установлен в приложении N 7 к Регламенту.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1.11. Типовой внешний вид временных сооружений, предназначенных для размещения сезонных объектов общественного питания, в том числе с выносными столиками, для размещения летних кафе установлен в приложении N 8 к Регламенту.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1.12. Типовой внешний вид информационно-торговых мобильных объектов установлен в приложении N 9 к Регламенту.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1.13. Типовой внешний вид газетных модулей установлен в приложении N 10 к Регламенту.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1.14. Площадь нестационарного торгового объекта определяется с учетом требований по обеспечению свободного прохода и возможностью размещения требуемых дополнительных элементов благоустройства.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1.15. </w:t>
      </w:r>
      <w:proofErr w:type="gramStart"/>
      <w:r w:rsidRPr="00AF67B4">
        <w:rPr>
          <w:color w:val="000000"/>
          <w:sz w:val="22"/>
          <w:szCs w:val="22"/>
        </w:rPr>
        <w:t>Габаритные размеры нестационарных торговых объектов, типовой внешний вид которых установлен в приложении N 8 к Регламенту, определяется архитектурно-градостроительным обликом здания, сооружения, в помещениях которого располагается предприятие общественного питания, если нестационарный торговый объект размещается на земельном участке, смежном с земельным участком, на котором расположено указанное здание, сооружение.</w:t>
      </w:r>
      <w:proofErr w:type="gramEnd"/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1.16. Цветовое оформление типовых внешних видов нестационарных торговых объектов должно соответствовать таблице цветового оформления нестационарных торговых объектов, установленной в приложении N 11 к Регламенту.</w:t>
      </w:r>
    </w:p>
    <w:p w:rsidR="00AF67B4" w:rsidRDefault="00AF67B4">
      <w:pPr>
        <w:jc w:val="right"/>
        <w:rPr>
          <w:color w:val="000000"/>
          <w:sz w:val="22"/>
          <w:szCs w:val="22"/>
        </w:rPr>
        <w:sectPr w:rsidR="00AF67B4" w:rsidSect="00AF67B4">
          <w:type w:val="continuous"/>
          <w:pgSz w:w="12240" w:h="15840"/>
          <w:pgMar w:top="720" w:right="720" w:bottom="720" w:left="720" w:header="720" w:footer="720" w:gutter="0"/>
          <w:cols w:space="720"/>
          <w:noEndnote/>
          <w:docGrid w:linePitch="245"/>
        </w:sectPr>
      </w:pPr>
    </w:p>
    <w:p w:rsidR="00AF67B4" w:rsidRDefault="00AF67B4">
      <w:pPr>
        <w:jc w:val="right"/>
        <w:rPr>
          <w:color w:val="000000"/>
          <w:sz w:val="22"/>
          <w:szCs w:val="22"/>
        </w:rPr>
        <w:sectPr w:rsidR="00AF67B4" w:rsidSect="00AF67B4">
          <w:type w:val="continuous"/>
          <w:pgSz w:w="15840" w:h="12240" w:orient="landscape"/>
          <w:pgMar w:top="720" w:right="720" w:bottom="720" w:left="720" w:header="720" w:footer="720" w:gutter="0"/>
          <w:cols w:space="720"/>
          <w:noEndnote/>
          <w:docGrid w:linePitch="245"/>
        </w:sectPr>
      </w:pP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lastRenderedPageBreak/>
        <w:t>Приложение N 1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 Эстетическому регламенту иных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некапитальных объектов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</w:p>
    <w:p w:rsidR="00F41CB4" w:rsidRPr="00AF67B4" w:rsidRDefault="00F41CB4">
      <w:pPr>
        <w:pStyle w:val="Heading"/>
        <w:jc w:val="center"/>
        <w:rPr>
          <w:color w:val="000000"/>
        </w:rPr>
        <w:sectPr w:rsidR="00F41CB4" w:rsidRPr="00AF67B4" w:rsidSect="00AF67B4">
          <w:type w:val="continuous"/>
          <w:pgSz w:w="15840" w:h="12240" w:orient="landscape"/>
          <w:pgMar w:top="720" w:right="720" w:bottom="720" w:left="720" w:header="720" w:footer="720" w:gutter="0"/>
          <w:cols w:space="720"/>
          <w:noEndnote/>
          <w:docGrid w:linePitch="245"/>
        </w:sect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lastRenderedPageBreak/>
        <w:t xml:space="preserve">Раздел 1. Модульная секция павильона и киоска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</w:t>
      </w:r>
    </w:p>
    <w:p w:rsidR="00F36037" w:rsidRPr="00AF67B4" w:rsidRDefault="00F42829">
      <w:pPr>
        <w:jc w:val="center"/>
        <w:rPr>
          <w:color w:val="000000"/>
          <w:sz w:val="22"/>
          <w:szCs w:val="22"/>
        </w:rPr>
      </w:pPr>
      <w:r w:rsidRPr="00AF67B4">
        <w:rPr>
          <w:noProof/>
          <w:color w:val="000000"/>
          <w:sz w:val="22"/>
          <w:szCs w:val="22"/>
        </w:rPr>
        <w:drawing>
          <wp:inline distT="0" distB="0" distL="0" distR="0" wp14:anchorId="1F0376D9" wp14:editId="62F323A5">
            <wp:extent cx="7488555" cy="3625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55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41CB4" w:rsidRPr="00AF67B4" w:rsidRDefault="00F41CB4" w:rsidP="00F41CB4">
      <w:pPr>
        <w:pStyle w:val="Heading"/>
        <w:jc w:val="center"/>
        <w:rPr>
          <w:color w:val="000000"/>
        </w:rPr>
      </w:pPr>
    </w:p>
    <w:p w:rsidR="00F41CB4" w:rsidRPr="00AF67B4" w:rsidRDefault="00F41CB4" w:rsidP="00F41CB4">
      <w:pPr>
        <w:pStyle w:val="Heading"/>
        <w:jc w:val="center"/>
        <w:rPr>
          <w:color w:val="000000"/>
        </w:rPr>
      </w:pPr>
    </w:p>
    <w:p w:rsidR="00F41CB4" w:rsidRPr="00AF67B4" w:rsidRDefault="00F41CB4" w:rsidP="00F41CB4">
      <w:pPr>
        <w:pStyle w:val="Heading"/>
        <w:jc w:val="center"/>
        <w:rPr>
          <w:color w:val="000000"/>
        </w:rPr>
      </w:pPr>
    </w:p>
    <w:p w:rsidR="00F41CB4" w:rsidRPr="00AF67B4" w:rsidRDefault="00F41CB4" w:rsidP="00F41CB4">
      <w:pPr>
        <w:pStyle w:val="Heading"/>
        <w:jc w:val="center"/>
        <w:rPr>
          <w:color w:val="000000"/>
        </w:rPr>
      </w:pPr>
    </w:p>
    <w:p w:rsidR="00F41CB4" w:rsidRPr="00AF67B4" w:rsidRDefault="00F41CB4" w:rsidP="00F41CB4">
      <w:pPr>
        <w:pStyle w:val="Heading"/>
        <w:jc w:val="center"/>
        <w:rPr>
          <w:color w:val="000000"/>
        </w:rPr>
      </w:pPr>
    </w:p>
    <w:p w:rsidR="00F41CB4" w:rsidRPr="00AF67B4" w:rsidRDefault="00F41CB4" w:rsidP="00F41CB4">
      <w:pPr>
        <w:pStyle w:val="Heading"/>
        <w:jc w:val="center"/>
        <w:rPr>
          <w:color w:val="000000"/>
        </w:rPr>
      </w:pPr>
    </w:p>
    <w:p w:rsidR="00F41CB4" w:rsidRPr="00AF67B4" w:rsidRDefault="00F41CB4" w:rsidP="00F41CB4">
      <w:pPr>
        <w:pStyle w:val="Heading"/>
        <w:jc w:val="center"/>
        <w:rPr>
          <w:color w:val="000000"/>
        </w:rPr>
      </w:pPr>
    </w:p>
    <w:p w:rsidR="00F41CB4" w:rsidRPr="00AF67B4" w:rsidRDefault="00F41CB4" w:rsidP="00F41CB4">
      <w:pPr>
        <w:pStyle w:val="Heading"/>
        <w:jc w:val="center"/>
        <w:rPr>
          <w:color w:val="000000"/>
        </w:rPr>
      </w:pPr>
    </w:p>
    <w:p w:rsidR="00F41CB4" w:rsidRPr="00AF67B4" w:rsidRDefault="00F41CB4" w:rsidP="00F41CB4">
      <w:pPr>
        <w:pStyle w:val="Heading"/>
        <w:jc w:val="center"/>
        <w:rPr>
          <w:color w:val="000000"/>
        </w:rPr>
      </w:pPr>
    </w:p>
    <w:p w:rsidR="00F36037" w:rsidRPr="00AF67B4" w:rsidRDefault="00F41CB4" w:rsidP="00F41CB4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>Раздел 2. Модульная</w:t>
      </w:r>
      <w:r w:rsidR="00F36037" w:rsidRPr="00AF67B4">
        <w:rPr>
          <w:color w:val="000000"/>
        </w:rPr>
        <w:t xml:space="preserve"> секция павильона и киоска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</w:t>
      </w:r>
    </w:p>
    <w:p w:rsidR="00F36037" w:rsidRPr="00AF67B4" w:rsidRDefault="00F42829">
      <w:pPr>
        <w:jc w:val="center"/>
        <w:rPr>
          <w:color w:val="000000"/>
          <w:sz w:val="22"/>
          <w:szCs w:val="22"/>
        </w:rPr>
      </w:pPr>
      <w:r w:rsidRPr="00AF67B4">
        <w:rPr>
          <w:noProof/>
          <w:color w:val="000000"/>
          <w:sz w:val="22"/>
          <w:szCs w:val="22"/>
        </w:rPr>
        <w:drawing>
          <wp:inline distT="0" distB="0" distL="0" distR="0" wp14:anchorId="24AB4F5A" wp14:editId="5B100470">
            <wp:extent cx="7378065" cy="357886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65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41CB4" w:rsidRPr="00AF67B4" w:rsidRDefault="00F41CB4">
      <w:pPr>
        <w:pStyle w:val="Heading"/>
        <w:jc w:val="center"/>
        <w:rPr>
          <w:color w:val="000000"/>
        </w:rPr>
      </w:pPr>
    </w:p>
    <w:p w:rsidR="00F41CB4" w:rsidRDefault="00F41CB4">
      <w:pPr>
        <w:pStyle w:val="Heading"/>
        <w:jc w:val="center"/>
        <w:rPr>
          <w:color w:val="000000"/>
        </w:rPr>
      </w:pPr>
    </w:p>
    <w:p w:rsidR="00AF67B4" w:rsidRDefault="00AF67B4">
      <w:pPr>
        <w:pStyle w:val="Heading"/>
        <w:jc w:val="center"/>
        <w:rPr>
          <w:color w:val="000000"/>
        </w:rPr>
      </w:pPr>
    </w:p>
    <w:p w:rsidR="00AF67B4" w:rsidRPr="00AF67B4" w:rsidRDefault="00AF67B4">
      <w:pPr>
        <w:pStyle w:val="Heading"/>
        <w:jc w:val="center"/>
        <w:rPr>
          <w:color w:val="000000"/>
        </w:rPr>
      </w:pPr>
    </w:p>
    <w:p w:rsidR="00F41CB4" w:rsidRPr="00AF67B4" w:rsidRDefault="00F41CB4">
      <w:pPr>
        <w:pStyle w:val="Heading"/>
        <w:jc w:val="center"/>
        <w:rPr>
          <w:color w:val="000000"/>
        </w:rPr>
      </w:pPr>
    </w:p>
    <w:p w:rsidR="00F41CB4" w:rsidRPr="00AF67B4" w:rsidRDefault="00F41CB4">
      <w:pPr>
        <w:pStyle w:val="Heading"/>
        <w:jc w:val="center"/>
        <w:rPr>
          <w:color w:val="000000"/>
        </w:rPr>
      </w:pPr>
    </w:p>
    <w:p w:rsidR="00F41CB4" w:rsidRPr="00AF67B4" w:rsidRDefault="00F41CB4">
      <w:pPr>
        <w:pStyle w:val="Heading"/>
        <w:jc w:val="center"/>
        <w:rPr>
          <w:color w:val="000000"/>
        </w:rPr>
      </w:pPr>
    </w:p>
    <w:p w:rsidR="00F41CB4" w:rsidRPr="00AF67B4" w:rsidRDefault="00F41CB4">
      <w:pPr>
        <w:pStyle w:val="Heading"/>
        <w:jc w:val="center"/>
        <w:rPr>
          <w:color w:val="000000"/>
        </w:rPr>
      </w:pPr>
    </w:p>
    <w:p w:rsidR="00F41CB4" w:rsidRPr="00AF67B4" w:rsidRDefault="00F41CB4">
      <w:pPr>
        <w:pStyle w:val="Heading"/>
        <w:jc w:val="center"/>
        <w:rPr>
          <w:color w:val="000000"/>
        </w:rPr>
      </w:pPr>
    </w:p>
    <w:p w:rsidR="00F41CB4" w:rsidRPr="00AF67B4" w:rsidRDefault="00F41CB4">
      <w:pPr>
        <w:pStyle w:val="Heading"/>
        <w:jc w:val="center"/>
        <w:rPr>
          <w:color w:val="000000"/>
        </w:rPr>
      </w:pPr>
    </w:p>
    <w:p w:rsidR="00F41CB4" w:rsidRPr="00AF67B4" w:rsidRDefault="00F41CB4">
      <w:pPr>
        <w:pStyle w:val="Heading"/>
        <w:jc w:val="center"/>
        <w:rPr>
          <w:color w:val="000000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lastRenderedPageBreak/>
        <w:t xml:space="preserve">Раздел 3. Модульная секция павильона и киоска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</w:t>
      </w:r>
    </w:p>
    <w:p w:rsidR="00F36037" w:rsidRPr="00AF67B4" w:rsidRDefault="00F42829">
      <w:pPr>
        <w:jc w:val="center"/>
        <w:rPr>
          <w:color w:val="000000"/>
          <w:sz w:val="22"/>
          <w:szCs w:val="22"/>
        </w:rPr>
      </w:pPr>
      <w:r w:rsidRPr="00AF67B4">
        <w:rPr>
          <w:noProof/>
          <w:color w:val="000000"/>
          <w:sz w:val="22"/>
          <w:szCs w:val="22"/>
        </w:rPr>
        <w:drawing>
          <wp:inline distT="0" distB="0" distL="0" distR="0" wp14:anchorId="1087273D" wp14:editId="2BF90DE0">
            <wp:extent cx="7409815" cy="3689350"/>
            <wp:effectExtent l="0" t="0" r="63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1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 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 </w:t>
      </w:r>
    </w:p>
    <w:p w:rsidR="00F41CB4" w:rsidRPr="00AF67B4" w:rsidRDefault="00F41CB4">
      <w:pPr>
        <w:jc w:val="right"/>
        <w:rPr>
          <w:color w:val="000000"/>
          <w:sz w:val="22"/>
          <w:szCs w:val="22"/>
        </w:rPr>
      </w:pPr>
    </w:p>
    <w:p w:rsidR="00F41CB4" w:rsidRPr="00AF67B4" w:rsidRDefault="00F41CB4">
      <w:pPr>
        <w:jc w:val="right"/>
        <w:rPr>
          <w:color w:val="000000"/>
          <w:sz w:val="22"/>
          <w:szCs w:val="22"/>
        </w:rPr>
      </w:pPr>
    </w:p>
    <w:p w:rsidR="00F41CB4" w:rsidRPr="00AF67B4" w:rsidRDefault="00F41CB4">
      <w:pPr>
        <w:jc w:val="right"/>
        <w:rPr>
          <w:color w:val="000000"/>
          <w:sz w:val="22"/>
          <w:szCs w:val="22"/>
        </w:rPr>
      </w:pPr>
    </w:p>
    <w:p w:rsidR="00F41CB4" w:rsidRPr="00AF67B4" w:rsidRDefault="00F41CB4">
      <w:pPr>
        <w:jc w:val="right"/>
        <w:rPr>
          <w:color w:val="000000"/>
          <w:sz w:val="22"/>
          <w:szCs w:val="22"/>
        </w:rPr>
      </w:pPr>
    </w:p>
    <w:p w:rsidR="00F41CB4" w:rsidRDefault="00F41CB4">
      <w:pPr>
        <w:jc w:val="right"/>
        <w:rPr>
          <w:color w:val="000000"/>
          <w:sz w:val="22"/>
          <w:szCs w:val="22"/>
        </w:rPr>
      </w:pPr>
    </w:p>
    <w:p w:rsidR="00AF67B4" w:rsidRPr="00AF67B4" w:rsidRDefault="00AF67B4">
      <w:pPr>
        <w:jc w:val="right"/>
        <w:rPr>
          <w:color w:val="000000"/>
          <w:sz w:val="22"/>
          <w:szCs w:val="22"/>
        </w:rPr>
      </w:pPr>
    </w:p>
    <w:p w:rsidR="00F41CB4" w:rsidRPr="00AF67B4" w:rsidRDefault="00F41CB4">
      <w:pPr>
        <w:jc w:val="right"/>
        <w:rPr>
          <w:color w:val="000000"/>
          <w:sz w:val="22"/>
          <w:szCs w:val="22"/>
        </w:rPr>
      </w:pPr>
    </w:p>
    <w:p w:rsidR="00F41CB4" w:rsidRPr="00AF67B4" w:rsidRDefault="00F41CB4">
      <w:pPr>
        <w:jc w:val="right"/>
        <w:rPr>
          <w:color w:val="000000"/>
          <w:sz w:val="22"/>
          <w:szCs w:val="22"/>
        </w:rPr>
      </w:pPr>
    </w:p>
    <w:p w:rsidR="00F41CB4" w:rsidRPr="00AF67B4" w:rsidRDefault="00F41CB4">
      <w:pPr>
        <w:jc w:val="right"/>
        <w:rPr>
          <w:color w:val="000000"/>
          <w:sz w:val="22"/>
          <w:szCs w:val="22"/>
        </w:rPr>
      </w:pPr>
    </w:p>
    <w:p w:rsidR="00F41CB4" w:rsidRPr="00AF67B4" w:rsidRDefault="00F41CB4">
      <w:pPr>
        <w:jc w:val="right"/>
        <w:rPr>
          <w:color w:val="000000"/>
          <w:sz w:val="22"/>
          <w:szCs w:val="22"/>
        </w:rPr>
      </w:pPr>
    </w:p>
    <w:p w:rsidR="00F41CB4" w:rsidRPr="00AF67B4" w:rsidRDefault="00F41CB4">
      <w:pPr>
        <w:jc w:val="right"/>
        <w:rPr>
          <w:color w:val="000000"/>
          <w:sz w:val="22"/>
          <w:szCs w:val="22"/>
        </w:rPr>
      </w:pP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lastRenderedPageBreak/>
        <w:t>Приложение N 2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 Эстетическому регламенту иных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некапитальных объектов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</w:t>
      </w:r>
    </w:p>
    <w:p w:rsidR="00F36037" w:rsidRPr="00AF67B4" w:rsidRDefault="00F36037" w:rsidP="00F41CB4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Раздел 1. Типовой внешний вид киоска   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</w:t>
      </w:r>
    </w:p>
    <w:p w:rsidR="00F36037" w:rsidRPr="00AF67B4" w:rsidRDefault="00F42829">
      <w:pPr>
        <w:jc w:val="center"/>
        <w:rPr>
          <w:color w:val="000000"/>
          <w:sz w:val="22"/>
          <w:szCs w:val="22"/>
        </w:rPr>
      </w:pPr>
      <w:r w:rsidRPr="00AF67B4">
        <w:rPr>
          <w:noProof/>
          <w:color w:val="000000"/>
          <w:sz w:val="22"/>
          <w:szCs w:val="22"/>
        </w:rPr>
        <w:drawing>
          <wp:inline distT="0" distB="0" distL="0" distR="0" wp14:anchorId="0C96257E" wp14:editId="77290173">
            <wp:extent cx="7772400" cy="48240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82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AF67B4" w:rsidRDefault="00AF67B4">
      <w:pPr>
        <w:pStyle w:val="Heading"/>
        <w:jc w:val="center"/>
        <w:rPr>
          <w:color w:val="000000"/>
        </w:rPr>
      </w:pPr>
    </w:p>
    <w:p w:rsidR="00AF67B4" w:rsidRDefault="00AF67B4">
      <w:pPr>
        <w:pStyle w:val="Heading"/>
        <w:jc w:val="center"/>
        <w:rPr>
          <w:color w:val="000000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lastRenderedPageBreak/>
        <w:t xml:space="preserve">Раздел 2. Типовой внешний вид киоска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</w:t>
      </w:r>
    </w:p>
    <w:p w:rsidR="00F36037" w:rsidRPr="00AF67B4" w:rsidRDefault="00F42829">
      <w:pPr>
        <w:jc w:val="center"/>
        <w:rPr>
          <w:color w:val="000000"/>
          <w:sz w:val="22"/>
          <w:szCs w:val="22"/>
        </w:rPr>
      </w:pPr>
      <w:r w:rsidRPr="00AF67B4">
        <w:rPr>
          <w:noProof/>
          <w:color w:val="000000"/>
          <w:sz w:val="22"/>
          <w:szCs w:val="22"/>
        </w:rPr>
        <w:drawing>
          <wp:inline distT="0" distB="0" distL="0" distR="0" wp14:anchorId="7B299F32" wp14:editId="06CD3C20">
            <wp:extent cx="8134985" cy="523430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985" cy="52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AF67B4" w:rsidRDefault="00AF67B4">
      <w:pPr>
        <w:pStyle w:val="Heading"/>
        <w:jc w:val="center"/>
        <w:rPr>
          <w:color w:val="000000"/>
        </w:rPr>
      </w:pPr>
    </w:p>
    <w:p w:rsidR="00AF67B4" w:rsidRDefault="00AF67B4">
      <w:pPr>
        <w:pStyle w:val="Heading"/>
        <w:jc w:val="center"/>
        <w:rPr>
          <w:color w:val="000000"/>
        </w:rPr>
      </w:pPr>
    </w:p>
    <w:p w:rsidR="00AF67B4" w:rsidRDefault="00AF67B4">
      <w:pPr>
        <w:pStyle w:val="Heading"/>
        <w:jc w:val="center"/>
        <w:rPr>
          <w:color w:val="000000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lastRenderedPageBreak/>
        <w:t xml:space="preserve">Раздел 3. Типовой внешний вид киоска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</w:t>
      </w:r>
    </w:p>
    <w:p w:rsidR="00F36037" w:rsidRPr="00AF67B4" w:rsidRDefault="00F42829">
      <w:pPr>
        <w:jc w:val="center"/>
        <w:rPr>
          <w:color w:val="000000"/>
          <w:sz w:val="22"/>
          <w:szCs w:val="22"/>
        </w:rPr>
      </w:pPr>
      <w:r w:rsidRPr="00AF67B4">
        <w:rPr>
          <w:noProof/>
          <w:color w:val="000000"/>
          <w:sz w:val="22"/>
          <w:szCs w:val="22"/>
        </w:rPr>
        <w:drawing>
          <wp:inline distT="0" distB="0" distL="0" distR="0" wp14:anchorId="0A884DF4" wp14:editId="2A233134">
            <wp:extent cx="8182610" cy="5155565"/>
            <wp:effectExtent l="0" t="0" r="889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2610" cy="515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AF67B4" w:rsidRDefault="00AF67B4">
      <w:pPr>
        <w:jc w:val="right"/>
        <w:rPr>
          <w:color w:val="000000"/>
          <w:sz w:val="22"/>
          <w:szCs w:val="22"/>
        </w:rPr>
      </w:pPr>
    </w:p>
    <w:p w:rsidR="00AF67B4" w:rsidRDefault="00AF67B4">
      <w:pPr>
        <w:jc w:val="right"/>
        <w:rPr>
          <w:color w:val="000000"/>
          <w:sz w:val="22"/>
          <w:szCs w:val="22"/>
        </w:rPr>
      </w:pPr>
    </w:p>
    <w:p w:rsidR="00AF67B4" w:rsidRDefault="00AF67B4">
      <w:pPr>
        <w:jc w:val="right"/>
        <w:rPr>
          <w:color w:val="000000"/>
          <w:sz w:val="22"/>
          <w:szCs w:val="22"/>
        </w:rPr>
      </w:pPr>
    </w:p>
    <w:p w:rsidR="00AF67B4" w:rsidRDefault="00AF67B4">
      <w:pPr>
        <w:jc w:val="right"/>
        <w:rPr>
          <w:color w:val="000000"/>
          <w:sz w:val="22"/>
          <w:szCs w:val="22"/>
        </w:rPr>
      </w:pP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lastRenderedPageBreak/>
        <w:t>Приложение N 3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 Эстетическому регламенту иных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некапитальных объектов 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Раздел 1. Типовой внешний вид палаток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</w:t>
      </w:r>
    </w:p>
    <w:p w:rsidR="00F36037" w:rsidRPr="00AF67B4" w:rsidRDefault="00F42829">
      <w:pPr>
        <w:jc w:val="center"/>
        <w:rPr>
          <w:color w:val="000000"/>
          <w:sz w:val="22"/>
          <w:szCs w:val="22"/>
        </w:rPr>
      </w:pPr>
      <w:r w:rsidRPr="00AF67B4">
        <w:rPr>
          <w:noProof/>
          <w:color w:val="000000"/>
          <w:sz w:val="22"/>
          <w:szCs w:val="22"/>
        </w:rPr>
        <w:drawing>
          <wp:inline distT="0" distB="0" distL="0" distR="0" wp14:anchorId="23236E23" wp14:editId="2144EAD1">
            <wp:extent cx="6920865" cy="44615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865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lastRenderedPageBreak/>
        <w:t xml:space="preserve">Раздел 2. Типовой внешний вид палаток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</w:t>
      </w:r>
    </w:p>
    <w:p w:rsidR="00F36037" w:rsidRPr="00AF67B4" w:rsidRDefault="00F42829">
      <w:pPr>
        <w:jc w:val="center"/>
        <w:rPr>
          <w:color w:val="000000"/>
          <w:sz w:val="22"/>
          <w:szCs w:val="22"/>
        </w:rPr>
      </w:pPr>
      <w:r w:rsidRPr="00AF67B4">
        <w:rPr>
          <w:noProof/>
          <w:color w:val="000000"/>
          <w:sz w:val="22"/>
          <w:szCs w:val="22"/>
        </w:rPr>
        <w:drawing>
          <wp:inline distT="0" distB="0" distL="0" distR="0" wp14:anchorId="6BF10CF2" wp14:editId="198A8286">
            <wp:extent cx="7551420" cy="495046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495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 </w:t>
      </w:r>
    </w:p>
    <w:p w:rsidR="00AF67B4" w:rsidRDefault="00AF67B4">
      <w:pPr>
        <w:jc w:val="right"/>
        <w:rPr>
          <w:color w:val="000000"/>
          <w:sz w:val="22"/>
          <w:szCs w:val="22"/>
        </w:rPr>
      </w:pPr>
    </w:p>
    <w:p w:rsidR="00AF67B4" w:rsidRDefault="00AF67B4">
      <w:pPr>
        <w:jc w:val="right"/>
        <w:rPr>
          <w:color w:val="000000"/>
          <w:sz w:val="22"/>
          <w:szCs w:val="22"/>
        </w:rPr>
      </w:pPr>
    </w:p>
    <w:p w:rsidR="00AF67B4" w:rsidRDefault="00AF67B4">
      <w:pPr>
        <w:jc w:val="right"/>
        <w:rPr>
          <w:color w:val="000000"/>
          <w:sz w:val="22"/>
          <w:szCs w:val="22"/>
        </w:rPr>
      </w:pPr>
    </w:p>
    <w:p w:rsidR="00AF67B4" w:rsidRDefault="00AF67B4">
      <w:pPr>
        <w:jc w:val="right"/>
        <w:rPr>
          <w:color w:val="000000"/>
          <w:sz w:val="22"/>
          <w:szCs w:val="22"/>
        </w:rPr>
      </w:pPr>
    </w:p>
    <w:p w:rsidR="00AF67B4" w:rsidRDefault="00AF67B4">
      <w:pPr>
        <w:jc w:val="right"/>
        <w:rPr>
          <w:color w:val="000000"/>
          <w:sz w:val="22"/>
          <w:szCs w:val="22"/>
        </w:rPr>
      </w:pPr>
    </w:p>
    <w:p w:rsidR="00AF67B4" w:rsidRDefault="00AF67B4">
      <w:pPr>
        <w:jc w:val="right"/>
        <w:rPr>
          <w:color w:val="000000"/>
          <w:sz w:val="22"/>
          <w:szCs w:val="22"/>
        </w:rPr>
      </w:pP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lastRenderedPageBreak/>
        <w:t>Приложение N 4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 Эстетическому регламенту иных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некапитальных объектов 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Раздел 1. Типовой внешний вид елочных базаров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</w:t>
      </w:r>
    </w:p>
    <w:p w:rsidR="00F36037" w:rsidRPr="00AF67B4" w:rsidRDefault="00F42829">
      <w:pPr>
        <w:jc w:val="center"/>
        <w:rPr>
          <w:color w:val="000000"/>
          <w:sz w:val="22"/>
          <w:szCs w:val="22"/>
        </w:rPr>
      </w:pPr>
      <w:r w:rsidRPr="00AF67B4">
        <w:rPr>
          <w:noProof/>
          <w:color w:val="000000"/>
          <w:sz w:val="22"/>
          <w:szCs w:val="22"/>
        </w:rPr>
        <w:drawing>
          <wp:inline distT="0" distB="0" distL="0" distR="0" wp14:anchorId="71BE03A7" wp14:editId="219F079E">
            <wp:extent cx="8182610" cy="4130675"/>
            <wp:effectExtent l="0" t="0" r="889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2610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AF67B4" w:rsidRDefault="00AF67B4">
      <w:pPr>
        <w:pStyle w:val="Heading"/>
        <w:jc w:val="center"/>
        <w:rPr>
          <w:color w:val="000000"/>
        </w:rPr>
      </w:pPr>
    </w:p>
    <w:p w:rsidR="00AF67B4" w:rsidRDefault="00AF67B4">
      <w:pPr>
        <w:pStyle w:val="Heading"/>
        <w:jc w:val="center"/>
        <w:rPr>
          <w:color w:val="000000"/>
        </w:rPr>
      </w:pPr>
    </w:p>
    <w:p w:rsidR="00AF67B4" w:rsidRDefault="00AF67B4">
      <w:pPr>
        <w:pStyle w:val="Heading"/>
        <w:jc w:val="center"/>
        <w:rPr>
          <w:color w:val="000000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Раздел 2. Типовой внешний вид елочных базаров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</w:t>
      </w:r>
    </w:p>
    <w:p w:rsidR="00F36037" w:rsidRPr="00AF67B4" w:rsidRDefault="00F42829">
      <w:pPr>
        <w:jc w:val="center"/>
        <w:rPr>
          <w:color w:val="000000"/>
          <w:sz w:val="22"/>
          <w:szCs w:val="22"/>
        </w:rPr>
      </w:pPr>
      <w:r w:rsidRPr="00AF67B4">
        <w:rPr>
          <w:noProof/>
          <w:color w:val="000000"/>
          <w:sz w:val="22"/>
          <w:szCs w:val="22"/>
        </w:rPr>
        <w:drawing>
          <wp:inline distT="0" distB="0" distL="0" distR="0" wp14:anchorId="6CF40C17" wp14:editId="6980CA6F">
            <wp:extent cx="8276590" cy="43827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6590" cy="438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 </w:t>
      </w:r>
    </w:p>
    <w:p w:rsidR="00F41CB4" w:rsidRPr="00AF67B4" w:rsidRDefault="00F41CB4">
      <w:pPr>
        <w:jc w:val="right"/>
        <w:rPr>
          <w:color w:val="000000"/>
          <w:sz w:val="22"/>
          <w:szCs w:val="22"/>
        </w:rPr>
      </w:pPr>
    </w:p>
    <w:p w:rsidR="00F41CB4" w:rsidRPr="00AF67B4" w:rsidRDefault="00F41CB4">
      <w:pPr>
        <w:jc w:val="right"/>
        <w:rPr>
          <w:color w:val="000000"/>
          <w:sz w:val="22"/>
          <w:szCs w:val="22"/>
        </w:rPr>
      </w:pPr>
    </w:p>
    <w:p w:rsidR="00F41CB4" w:rsidRPr="00AF67B4" w:rsidRDefault="00F41CB4">
      <w:pPr>
        <w:jc w:val="right"/>
        <w:rPr>
          <w:color w:val="000000"/>
          <w:sz w:val="22"/>
          <w:szCs w:val="22"/>
        </w:rPr>
      </w:pPr>
    </w:p>
    <w:p w:rsidR="00F41CB4" w:rsidRPr="00AF67B4" w:rsidRDefault="00F41CB4">
      <w:pPr>
        <w:jc w:val="right"/>
        <w:rPr>
          <w:color w:val="000000"/>
          <w:sz w:val="22"/>
          <w:szCs w:val="22"/>
        </w:rPr>
      </w:pPr>
    </w:p>
    <w:p w:rsidR="00F41CB4" w:rsidRDefault="00F41CB4">
      <w:pPr>
        <w:jc w:val="right"/>
        <w:rPr>
          <w:color w:val="000000"/>
          <w:sz w:val="22"/>
          <w:szCs w:val="22"/>
        </w:rPr>
      </w:pPr>
    </w:p>
    <w:p w:rsidR="00AF67B4" w:rsidRDefault="00AF67B4">
      <w:pPr>
        <w:jc w:val="right"/>
        <w:rPr>
          <w:color w:val="000000"/>
          <w:sz w:val="22"/>
          <w:szCs w:val="22"/>
        </w:rPr>
      </w:pPr>
    </w:p>
    <w:p w:rsidR="00AF67B4" w:rsidRPr="00AF67B4" w:rsidRDefault="00AF67B4">
      <w:pPr>
        <w:jc w:val="right"/>
        <w:rPr>
          <w:color w:val="000000"/>
          <w:sz w:val="22"/>
          <w:szCs w:val="22"/>
        </w:rPr>
      </w:pP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lastRenderedPageBreak/>
        <w:t>Приложение N 5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 Эстетическому регламенту иных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некапитальных объектов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Типовой внешний вид тележек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</w:t>
      </w:r>
    </w:p>
    <w:p w:rsidR="00F36037" w:rsidRPr="00AF67B4" w:rsidRDefault="00F42829">
      <w:pPr>
        <w:jc w:val="center"/>
        <w:rPr>
          <w:color w:val="000000"/>
          <w:sz w:val="22"/>
          <w:szCs w:val="22"/>
        </w:rPr>
      </w:pPr>
      <w:r w:rsidRPr="00AF67B4">
        <w:rPr>
          <w:noProof/>
          <w:color w:val="000000"/>
          <w:sz w:val="22"/>
          <w:szCs w:val="22"/>
        </w:rPr>
        <w:drawing>
          <wp:inline distT="0" distB="0" distL="0" distR="0" wp14:anchorId="0CE2FCBD" wp14:editId="7B068E29">
            <wp:extent cx="7693660" cy="463486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660" cy="46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Default="00F36037">
      <w:pPr>
        <w:jc w:val="center"/>
        <w:rPr>
          <w:color w:val="000000"/>
          <w:sz w:val="22"/>
          <w:szCs w:val="22"/>
        </w:rPr>
      </w:pPr>
    </w:p>
    <w:p w:rsidR="00AF67B4" w:rsidRPr="00AF67B4" w:rsidRDefault="00AF67B4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lastRenderedPageBreak/>
        <w:t>Приложение N 6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 Эстетическому регламенту иных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некапитальных объектов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Типовой внешний вид сооружений в виде натяжных на сборном каркасе тентов для сезонной торговли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</w:t>
      </w:r>
    </w:p>
    <w:p w:rsidR="00F36037" w:rsidRPr="00AF67B4" w:rsidRDefault="00F42829">
      <w:pPr>
        <w:jc w:val="center"/>
        <w:rPr>
          <w:color w:val="000000"/>
          <w:sz w:val="22"/>
          <w:szCs w:val="22"/>
        </w:rPr>
      </w:pPr>
      <w:r w:rsidRPr="00AF67B4">
        <w:rPr>
          <w:noProof/>
          <w:color w:val="000000"/>
          <w:sz w:val="22"/>
          <w:szCs w:val="22"/>
        </w:rPr>
        <w:drawing>
          <wp:inline distT="0" distB="0" distL="0" distR="0" wp14:anchorId="4588C13E" wp14:editId="2A6A353A">
            <wp:extent cx="7740650" cy="4587875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0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</w:t>
      </w:r>
    </w:p>
    <w:p w:rsidR="00AF67B4" w:rsidRDefault="00AF67B4">
      <w:pPr>
        <w:jc w:val="right"/>
        <w:rPr>
          <w:color w:val="000000"/>
          <w:sz w:val="22"/>
          <w:szCs w:val="22"/>
        </w:rPr>
      </w:pPr>
    </w:p>
    <w:p w:rsidR="00AF67B4" w:rsidRDefault="00AF67B4">
      <w:pPr>
        <w:jc w:val="right"/>
        <w:rPr>
          <w:color w:val="000000"/>
          <w:sz w:val="22"/>
          <w:szCs w:val="22"/>
        </w:rPr>
      </w:pPr>
    </w:p>
    <w:p w:rsidR="00AF67B4" w:rsidRDefault="00AF67B4">
      <w:pPr>
        <w:jc w:val="right"/>
        <w:rPr>
          <w:color w:val="000000"/>
          <w:sz w:val="22"/>
          <w:szCs w:val="22"/>
        </w:rPr>
      </w:pPr>
    </w:p>
    <w:p w:rsidR="00AF67B4" w:rsidRDefault="00AF67B4">
      <w:pPr>
        <w:jc w:val="right"/>
        <w:rPr>
          <w:color w:val="000000"/>
          <w:sz w:val="22"/>
          <w:szCs w:val="22"/>
        </w:rPr>
      </w:pP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lastRenderedPageBreak/>
        <w:t>Приложение N 7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 Эстетическому регламенту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иных некапитальных объектов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Типовой внешний вид передвижного средства развозной торговли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</w:t>
      </w:r>
    </w:p>
    <w:p w:rsidR="00F36037" w:rsidRPr="00AF67B4" w:rsidRDefault="00F42829">
      <w:pPr>
        <w:jc w:val="center"/>
        <w:rPr>
          <w:color w:val="000000"/>
          <w:sz w:val="22"/>
          <w:szCs w:val="22"/>
        </w:rPr>
      </w:pPr>
      <w:r w:rsidRPr="00AF67B4">
        <w:rPr>
          <w:noProof/>
          <w:color w:val="000000"/>
          <w:sz w:val="22"/>
          <w:szCs w:val="22"/>
        </w:rPr>
        <w:drawing>
          <wp:inline distT="0" distB="0" distL="0" distR="0" wp14:anchorId="4788B368" wp14:editId="6257859B">
            <wp:extent cx="8197850" cy="46507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0" cy="465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 </w:t>
      </w:r>
    </w:p>
    <w:p w:rsidR="00AF67B4" w:rsidRDefault="00AF67B4">
      <w:pPr>
        <w:jc w:val="right"/>
        <w:rPr>
          <w:color w:val="000000"/>
          <w:sz w:val="22"/>
          <w:szCs w:val="22"/>
        </w:rPr>
      </w:pPr>
    </w:p>
    <w:p w:rsidR="00AF67B4" w:rsidRDefault="00AF67B4">
      <w:pPr>
        <w:jc w:val="right"/>
        <w:rPr>
          <w:color w:val="000000"/>
          <w:sz w:val="22"/>
          <w:szCs w:val="22"/>
        </w:rPr>
      </w:pPr>
    </w:p>
    <w:p w:rsidR="00AF67B4" w:rsidRDefault="00AF67B4">
      <w:pPr>
        <w:jc w:val="right"/>
        <w:rPr>
          <w:color w:val="000000"/>
          <w:sz w:val="22"/>
          <w:szCs w:val="22"/>
        </w:rPr>
      </w:pP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lastRenderedPageBreak/>
        <w:t>Приложение N 8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 Эстетическому регламенту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иных некапитальных объектов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Раздел 1. Типовой внешний вид временных сооружений, </w:t>
      </w:r>
      <w:proofErr w:type="spellStart"/>
      <w:r w:rsidRPr="00AF67B4">
        <w:rPr>
          <w:color w:val="000000"/>
        </w:rPr>
        <w:t>предназна</w:t>
      </w:r>
      <w:proofErr w:type="spellEnd"/>
      <w:r w:rsidRPr="00AF67B4">
        <w:rPr>
          <w:color w:val="000000"/>
        </w:rPr>
        <w:t xml:space="preserve">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proofErr w:type="spellStart"/>
      <w:r w:rsidRPr="00AF67B4">
        <w:rPr>
          <w:color w:val="000000"/>
        </w:rPr>
        <w:t>ченных</w:t>
      </w:r>
      <w:proofErr w:type="spellEnd"/>
      <w:r w:rsidRPr="00AF67B4">
        <w:rPr>
          <w:color w:val="000000"/>
        </w:rPr>
        <w:t xml:space="preserve"> для размещения сезонных объектов общественного питания, в том числе с выносными столиками, для размещения летних кафе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</w:t>
      </w:r>
    </w:p>
    <w:p w:rsidR="00F36037" w:rsidRPr="00AF67B4" w:rsidRDefault="00F42829">
      <w:pPr>
        <w:jc w:val="center"/>
        <w:rPr>
          <w:color w:val="000000"/>
          <w:sz w:val="22"/>
          <w:szCs w:val="22"/>
        </w:rPr>
      </w:pPr>
      <w:r w:rsidRPr="00AF67B4">
        <w:rPr>
          <w:noProof/>
          <w:color w:val="000000"/>
          <w:sz w:val="22"/>
          <w:szCs w:val="22"/>
        </w:rPr>
        <w:drawing>
          <wp:inline distT="0" distB="0" distL="0" distR="0" wp14:anchorId="52AD6991" wp14:editId="61B7CCD8">
            <wp:extent cx="5013325" cy="403606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AF67B4" w:rsidRDefault="00AF67B4">
      <w:pPr>
        <w:pStyle w:val="Heading"/>
        <w:jc w:val="center"/>
        <w:rPr>
          <w:color w:val="000000"/>
        </w:rPr>
      </w:pPr>
    </w:p>
    <w:p w:rsidR="00AF67B4" w:rsidRDefault="00AF67B4">
      <w:pPr>
        <w:pStyle w:val="Heading"/>
        <w:jc w:val="center"/>
        <w:rPr>
          <w:color w:val="000000"/>
        </w:rPr>
      </w:pPr>
    </w:p>
    <w:p w:rsidR="00AF67B4" w:rsidRDefault="00AF67B4">
      <w:pPr>
        <w:pStyle w:val="Heading"/>
        <w:jc w:val="center"/>
        <w:rPr>
          <w:color w:val="000000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lastRenderedPageBreak/>
        <w:t xml:space="preserve">Раздел 2. Типовой внешний вид временных сооружений, предназначенных для размещения сезонных объектов общественного питания, в том числе с выносными столиками, для размещения летних кафе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</w:t>
      </w:r>
    </w:p>
    <w:p w:rsidR="00F36037" w:rsidRPr="00AF67B4" w:rsidRDefault="00F42829">
      <w:pPr>
        <w:jc w:val="center"/>
        <w:rPr>
          <w:color w:val="000000"/>
          <w:sz w:val="22"/>
          <w:szCs w:val="22"/>
        </w:rPr>
      </w:pPr>
      <w:r w:rsidRPr="00AF67B4">
        <w:rPr>
          <w:noProof/>
          <w:color w:val="000000"/>
          <w:sz w:val="22"/>
          <w:szCs w:val="22"/>
        </w:rPr>
        <w:drawing>
          <wp:inline distT="0" distB="0" distL="0" distR="0" wp14:anchorId="633A6D42" wp14:editId="537E614E">
            <wp:extent cx="6495415" cy="4934585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49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AF67B4" w:rsidRDefault="00AF67B4">
      <w:pPr>
        <w:pStyle w:val="Heading"/>
        <w:jc w:val="center"/>
        <w:rPr>
          <w:color w:val="000000"/>
        </w:rPr>
      </w:pPr>
    </w:p>
    <w:p w:rsidR="00AF67B4" w:rsidRDefault="00AF67B4">
      <w:pPr>
        <w:pStyle w:val="Heading"/>
        <w:jc w:val="center"/>
        <w:rPr>
          <w:color w:val="000000"/>
        </w:rPr>
      </w:pPr>
    </w:p>
    <w:p w:rsidR="00AF67B4" w:rsidRDefault="00AF67B4">
      <w:pPr>
        <w:pStyle w:val="Heading"/>
        <w:jc w:val="center"/>
        <w:rPr>
          <w:color w:val="000000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lastRenderedPageBreak/>
        <w:t xml:space="preserve">Раздел 3. Типовой внешний вид временных сооружений, предназначенных для размещения сезонных объектов общественного питания, в том числе с выносными столиками, для размещения летних кафе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</w:t>
      </w:r>
    </w:p>
    <w:p w:rsidR="00F36037" w:rsidRPr="00AF67B4" w:rsidRDefault="00F42829">
      <w:pPr>
        <w:jc w:val="center"/>
        <w:rPr>
          <w:color w:val="000000"/>
          <w:sz w:val="22"/>
          <w:szCs w:val="22"/>
        </w:rPr>
      </w:pPr>
      <w:r w:rsidRPr="00AF67B4">
        <w:rPr>
          <w:noProof/>
          <w:color w:val="000000"/>
          <w:sz w:val="22"/>
          <w:szCs w:val="22"/>
        </w:rPr>
        <w:drawing>
          <wp:inline distT="0" distB="0" distL="0" distR="0" wp14:anchorId="3267CF7E" wp14:editId="538FECAA">
            <wp:extent cx="8292465" cy="345249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246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41CB4" w:rsidRPr="00AF67B4" w:rsidRDefault="00F41CB4">
      <w:pPr>
        <w:pStyle w:val="Heading"/>
        <w:jc w:val="center"/>
        <w:rPr>
          <w:color w:val="000000"/>
        </w:rPr>
      </w:pPr>
    </w:p>
    <w:p w:rsidR="00F41CB4" w:rsidRPr="00AF67B4" w:rsidRDefault="00F41CB4">
      <w:pPr>
        <w:pStyle w:val="Heading"/>
        <w:jc w:val="center"/>
        <w:rPr>
          <w:color w:val="000000"/>
        </w:rPr>
      </w:pPr>
    </w:p>
    <w:p w:rsidR="00F41CB4" w:rsidRPr="00AF67B4" w:rsidRDefault="00F41CB4">
      <w:pPr>
        <w:pStyle w:val="Heading"/>
        <w:jc w:val="center"/>
        <w:rPr>
          <w:color w:val="000000"/>
        </w:rPr>
      </w:pPr>
    </w:p>
    <w:p w:rsidR="00F41CB4" w:rsidRPr="00AF67B4" w:rsidRDefault="00F41CB4">
      <w:pPr>
        <w:pStyle w:val="Heading"/>
        <w:jc w:val="center"/>
        <w:rPr>
          <w:color w:val="000000"/>
        </w:rPr>
      </w:pPr>
    </w:p>
    <w:p w:rsidR="00F41CB4" w:rsidRPr="00AF67B4" w:rsidRDefault="00F41CB4">
      <w:pPr>
        <w:pStyle w:val="Heading"/>
        <w:jc w:val="center"/>
        <w:rPr>
          <w:color w:val="000000"/>
        </w:rPr>
      </w:pPr>
    </w:p>
    <w:p w:rsidR="00F41CB4" w:rsidRPr="00AF67B4" w:rsidRDefault="00F41CB4">
      <w:pPr>
        <w:pStyle w:val="Heading"/>
        <w:jc w:val="center"/>
        <w:rPr>
          <w:color w:val="000000"/>
        </w:rPr>
      </w:pPr>
    </w:p>
    <w:p w:rsidR="00F41CB4" w:rsidRPr="00AF67B4" w:rsidRDefault="00F41CB4">
      <w:pPr>
        <w:pStyle w:val="Heading"/>
        <w:jc w:val="center"/>
        <w:rPr>
          <w:color w:val="000000"/>
        </w:rPr>
      </w:pPr>
    </w:p>
    <w:p w:rsidR="00F41CB4" w:rsidRPr="00AF67B4" w:rsidRDefault="00F41CB4">
      <w:pPr>
        <w:pStyle w:val="Heading"/>
        <w:jc w:val="center"/>
        <w:rPr>
          <w:color w:val="000000"/>
        </w:rPr>
      </w:pPr>
    </w:p>
    <w:p w:rsidR="00AF67B4" w:rsidRDefault="00AF67B4">
      <w:pPr>
        <w:pStyle w:val="Heading"/>
        <w:jc w:val="center"/>
        <w:rPr>
          <w:color w:val="000000"/>
        </w:rPr>
      </w:pPr>
    </w:p>
    <w:p w:rsidR="00AF67B4" w:rsidRDefault="00AF67B4">
      <w:pPr>
        <w:pStyle w:val="Heading"/>
        <w:jc w:val="center"/>
        <w:rPr>
          <w:color w:val="000000"/>
        </w:rPr>
      </w:pPr>
    </w:p>
    <w:p w:rsidR="00AF67B4" w:rsidRDefault="00AF67B4">
      <w:pPr>
        <w:pStyle w:val="Heading"/>
        <w:jc w:val="center"/>
        <w:rPr>
          <w:color w:val="000000"/>
        </w:rPr>
      </w:pPr>
    </w:p>
    <w:p w:rsidR="00AF67B4" w:rsidRDefault="00AF67B4">
      <w:pPr>
        <w:pStyle w:val="Heading"/>
        <w:jc w:val="center"/>
        <w:rPr>
          <w:color w:val="000000"/>
        </w:rPr>
      </w:pPr>
    </w:p>
    <w:p w:rsidR="00AF67B4" w:rsidRDefault="00AF67B4">
      <w:pPr>
        <w:pStyle w:val="Heading"/>
        <w:jc w:val="center"/>
        <w:rPr>
          <w:color w:val="000000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lastRenderedPageBreak/>
        <w:t xml:space="preserve">Раздел 4. Типовой внешний вид временных сооружений, предназначенных для размещения сезонных объектов общественного питания, в том числе с выносными столиками, для размещения летних кафе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</w:t>
      </w:r>
    </w:p>
    <w:p w:rsidR="00F36037" w:rsidRPr="00AF67B4" w:rsidRDefault="00F42829">
      <w:pPr>
        <w:jc w:val="center"/>
        <w:rPr>
          <w:color w:val="000000"/>
          <w:sz w:val="22"/>
          <w:szCs w:val="22"/>
        </w:rPr>
      </w:pPr>
      <w:r w:rsidRPr="00AF67B4">
        <w:rPr>
          <w:noProof/>
          <w:color w:val="000000"/>
          <w:sz w:val="22"/>
          <w:szCs w:val="22"/>
        </w:rPr>
        <w:drawing>
          <wp:inline distT="0" distB="0" distL="0" distR="0" wp14:anchorId="53771212" wp14:editId="19FD0DFD">
            <wp:extent cx="8292465" cy="390969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2465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41CB4" w:rsidRPr="00AF67B4" w:rsidRDefault="00F41CB4">
      <w:pPr>
        <w:pStyle w:val="Heading"/>
        <w:jc w:val="center"/>
        <w:rPr>
          <w:color w:val="000000"/>
        </w:rPr>
      </w:pPr>
    </w:p>
    <w:p w:rsidR="00F41CB4" w:rsidRPr="00AF67B4" w:rsidRDefault="00F41CB4">
      <w:pPr>
        <w:pStyle w:val="Heading"/>
        <w:jc w:val="center"/>
        <w:rPr>
          <w:color w:val="000000"/>
        </w:rPr>
      </w:pPr>
    </w:p>
    <w:p w:rsidR="00F41CB4" w:rsidRPr="00AF67B4" w:rsidRDefault="00F41CB4">
      <w:pPr>
        <w:pStyle w:val="Heading"/>
        <w:jc w:val="center"/>
        <w:rPr>
          <w:color w:val="000000"/>
        </w:rPr>
      </w:pPr>
    </w:p>
    <w:p w:rsidR="00F41CB4" w:rsidRPr="00AF67B4" w:rsidRDefault="00F41CB4">
      <w:pPr>
        <w:pStyle w:val="Heading"/>
        <w:jc w:val="center"/>
        <w:rPr>
          <w:color w:val="000000"/>
        </w:rPr>
      </w:pPr>
    </w:p>
    <w:p w:rsidR="00F41CB4" w:rsidRPr="00AF67B4" w:rsidRDefault="00F41CB4">
      <w:pPr>
        <w:pStyle w:val="Heading"/>
        <w:jc w:val="center"/>
        <w:rPr>
          <w:color w:val="000000"/>
        </w:rPr>
      </w:pPr>
    </w:p>
    <w:p w:rsidR="00F41CB4" w:rsidRPr="00AF67B4" w:rsidRDefault="00F41CB4">
      <w:pPr>
        <w:pStyle w:val="Heading"/>
        <w:jc w:val="center"/>
        <w:rPr>
          <w:color w:val="000000"/>
        </w:rPr>
      </w:pPr>
    </w:p>
    <w:p w:rsidR="00AF67B4" w:rsidRDefault="00AF67B4">
      <w:pPr>
        <w:pStyle w:val="Heading"/>
        <w:jc w:val="center"/>
        <w:rPr>
          <w:color w:val="000000"/>
        </w:rPr>
      </w:pPr>
    </w:p>
    <w:p w:rsidR="00AF67B4" w:rsidRDefault="00AF67B4">
      <w:pPr>
        <w:pStyle w:val="Heading"/>
        <w:jc w:val="center"/>
        <w:rPr>
          <w:color w:val="000000"/>
        </w:rPr>
      </w:pPr>
    </w:p>
    <w:p w:rsidR="00AF67B4" w:rsidRDefault="00AF67B4">
      <w:pPr>
        <w:pStyle w:val="Heading"/>
        <w:jc w:val="center"/>
        <w:rPr>
          <w:color w:val="000000"/>
        </w:rPr>
      </w:pPr>
    </w:p>
    <w:p w:rsidR="00AF67B4" w:rsidRDefault="00AF67B4">
      <w:pPr>
        <w:pStyle w:val="Heading"/>
        <w:jc w:val="center"/>
        <w:rPr>
          <w:color w:val="000000"/>
        </w:rPr>
      </w:pPr>
    </w:p>
    <w:p w:rsidR="00AF67B4" w:rsidRDefault="00AF67B4">
      <w:pPr>
        <w:pStyle w:val="Heading"/>
        <w:jc w:val="center"/>
        <w:rPr>
          <w:color w:val="000000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Раздел 5. Типовой внешний вид временных сооружений, предназначенных для размещения сезонных объектов общественного питания, в том числе с выносными столиками, для размещения летних кафе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</w:t>
      </w:r>
    </w:p>
    <w:p w:rsidR="00F36037" w:rsidRPr="00AF67B4" w:rsidRDefault="00F42829">
      <w:pPr>
        <w:jc w:val="center"/>
        <w:rPr>
          <w:color w:val="000000"/>
          <w:sz w:val="22"/>
          <w:szCs w:val="22"/>
        </w:rPr>
      </w:pPr>
      <w:r w:rsidRPr="00AF67B4">
        <w:rPr>
          <w:noProof/>
          <w:color w:val="000000"/>
          <w:sz w:val="22"/>
          <w:szCs w:val="22"/>
        </w:rPr>
        <w:drawing>
          <wp:inline distT="0" distB="0" distL="0" distR="0" wp14:anchorId="1C0E6766" wp14:editId="6FA16847">
            <wp:extent cx="8072120" cy="5313045"/>
            <wp:effectExtent l="0" t="0" r="508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120" cy="531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AF67B4" w:rsidRDefault="00AF67B4">
      <w:pPr>
        <w:pStyle w:val="Heading"/>
        <w:jc w:val="center"/>
        <w:rPr>
          <w:color w:val="000000"/>
        </w:rPr>
      </w:pPr>
    </w:p>
    <w:p w:rsidR="00AF67B4" w:rsidRDefault="00AF67B4">
      <w:pPr>
        <w:pStyle w:val="Heading"/>
        <w:jc w:val="center"/>
        <w:rPr>
          <w:color w:val="000000"/>
        </w:rPr>
      </w:pPr>
    </w:p>
    <w:p w:rsidR="00AF67B4" w:rsidRDefault="00AF67B4">
      <w:pPr>
        <w:pStyle w:val="Heading"/>
        <w:jc w:val="center"/>
        <w:rPr>
          <w:color w:val="000000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Раздел 6. Типовой внешний вид временных сооружений, предназначенных для размещения сезонных объектов общественного питания, в том числе с выносными столиками, для размещения летних кафе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</w:t>
      </w:r>
    </w:p>
    <w:p w:rsidR="00F36037" w:rsidRPr="00AF67B4" w:rsidRDefault="00F42829">
      <w:pPr>
        <w:jc w:val="center"/>
        <w:rPr>
          <w:color w:val="000000"/>
          <w:sz w:val="22"/>
          <w:szCs w:val="22"/>
        </w:rPr>
      </w:pPr>
      <w:r w:rsidRPr="00AF67B4">
        <w:rPr>
          <w:noProof/>
          <w:color w:val="000000"/>
          <w:sz w:val="22"/>
          <w:szCs w:val="22"/>
        </w:rPr>
        <w:drawing>
          <wp:inline distT="0" distB="0" distL="0" distR="0" wp14:anchorId="1E2A5CCA" wp14:editId="5A36618F">
            <wp:extent cx="8292465" cy="460375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2465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 </w:t>
      </w:r>
    </w:p>
    <w:p w:rsidR="00F41CB4" w:rsidRPr="00AF67B4" w:rsidRDefault="00F41CB4">
      <w:pPr>
        <w:jc w:val="right"/>
        <w:rPr>
          <w:color w:val="000000"/>
          <w:sz w:val="22"/>
          <w:szCs w:val="22"/>
        </w:rPr>
      </w:pPr>
    </w:p>
    <w:p w:rsidR="00F41CB4" w:rsidRDefault="00F41CB4">
      <w:pPr>
        <w:jc w:val="right"/>
        <w:rPr>
          <w:color w:val="000000"/>
          <w:sz w:val="22"/>
          <w:szCs w:val="22"/>
        </w:rPr>
      </w:pPr>
    </w:p>
    <w:p w:rsidR="00AF67B4" w:rsidRDefault="00AF67B4">
      <w:pPr>
        <w:jc w:val="right"/>
        <w:rPr>
          <w:color w:val="000000"/>
          <w:sz w:val="22"/>
          <w:szCs w:val="22"/>
        </w:rPr>
      </w:pPr>
    </w:p>
    <w:p w:rsidR="00AF67B4" w:rsidRPr="00AF67B4" w:rsidRDefault="00AF67B4">
      <w:pPr>
        <w:jc w:val="right"/>
        <w:rPr>
          <w:color w:val="000000"/>
          <w:sz w:val="22"/>
          <w:szCs w:val="22"/>
        </w:rPr>
      </w:pP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lastRenderedPageBreak/>
        <w:t>Приложение N 9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 Эстетическому регламенту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иных некапитальных объектов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Типовой внешний вид информационно-торгового мобильного объекта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</w:t>
      </w:r>
    </w:p>
    <w:p w:rsidR="00F36037" w:rsidRPr="00AF67B4" w:rsidRDefault="00F42829">
      <w:pPr>
        <w:jc w:val="center"/>
        <w:rPr>
          <w:color w:val="000000"/>
          <w:sz w:val="22"/>
          <w:szCs w:val="22"/>
        </w:rPr>
      </w:pPr>
      <w:r w:rsidRPr="00AF67B4">
        <w:rPr>
          <w:noProof/>
          <w:color w:val="000000"/>
          <w:sz w:val="22"/>
          <w:szCs w:val="22"/>
        </w:rPr>
        <w:drawing>
          <wp:inline distT="0" distB="0" distL="0" distR="0" wp14:anchorId="7349A348" wp14:editId="6B09F66B">
            <wp:extent cx="6716395" cy="4761230"/>
            <wp:effectExtent l="0" t="0" r="8255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95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AF67B4" w:rsidRDefault="00AF67B4">
      <w:pPr>
        <w:jc w:val="right"/>
        <w:rPr>
          <w:color w:val="000000"/>
          <w:sz w:val="22"/>
          <w:szCs w:val="22"/>
        </w:rPr>
      </w:pPr>
    </w:p>
    <w:p w:rsidR="00AF67B4" w:rsidRDefault="00AF67B4">
      <w:pPr>
        <w:jc w:val="right"/>
        <w:rPr>
          <w:color w:val="000000"/>
          <w:sz w:val="22"/>
          <w:szCs w:val="22"/>
        </w:rPr>
      </w:pPr>
    </w:p>
    <w:p w:rsidR="00AF67B4" w:rsidRDefault="00AF67B4">
      <w:pPr>
        <w:jc w:val="right"/>
        <w:rPr>
          <w:color w:val="000000"/>
          <w:sz w:val="22"/>
          <w:szCs w:val="22"/>
        </w:rPr>
      </w:pP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lastRenderedPageBreak/>
        <w:t>Приложение N 10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 Эстетическому регламенту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иных некапитальных объектов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Типовой внешний вид газетного модуля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 </w:t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</w:t>
      </w:r>
    </w:p>
    <w:p w:rsidR="00F36037" w:rsidRPr="00AF67B4" w:rsidRDefault="00F42829">
      <w:pPr>
        <w:jc w:val="center"/>
        <w:rPr>
          <w:color w:val="000000"/>
          <w:sz w:val="22"/>
          <w:szCs w:val="22"/>
        </w:rPr>
      </w:pPr>
      <w:r w:rsidRPr="00AF67B4">
        <w:rPr>
          <w:noProof/>
          <w:color w:val="000000"/>
          <w:sz w:val="22"/>
          <w:szCs w:val="22"/>
        </w:rPr>
        <w:drawing>
          <wp:inline distT="0" distB="0" distL="0" distR="0" wp14:anchorId="783F4B0C" wp14:editId="2F2F0605">
            <wp:extent cx="7456805" cy="4493260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805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36037" w:rsidRPr="00AF67B4" w:rsidRDefault="00F36037">
      <w:pPr>
        <w:jc w:val="center"/>
        <w:rPr>
          <w:color w:val="000000"/>
          <w:sz w:val="22"/>
          <w:szCs w:val="22"/>
        </w:rPr>
      </w:pPr>
    </w:p>
    <w:p w:rsidR="00F41CB4" w:rsidRPr="00AF67B4" w:rsidRDefault="00F41CB4">
      <w:pPr>
        <w:jc w:val="right"/>
        <w:rPr>
          <w:color w:val="000000"/>
          <w:sz w:val="22"/>
          <w:szCs w:val="22"/>
        </w:rPr>
        <w:sectPr w:rsidR="00F41CB4" w:rsidRPr="00AF67B4" w:rsidSect="00AF67B4">
          <w:type w:val="continuous"/>
          <w:pgSz w:w="15840" w:h="12240" w:orient="landscape"/>
          <w:pgMar w:top="720" w:right="720" w:bottom="720" w:left="720" w:header="720" w:footer="720" w:gutter="0"/>
          <w:cols w:space="720"/>
          <w:noEndnote/>
          <w:docGrid w:linePitch="245"/>
        </w:sectPr>
      </w:pP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lastRenderedPageBreak/>
        <w:t xml:space="preserve">    </w:t>
      </w:r>
    </w:p>
    <w:p w:rsidR="00AF67B4" w:rsidRDefault="00AF67B4">
      <w:pPr>
        <w:jc w:val="right"/>
        <w:rPr>
          <w:color w:val="000000"/>
          <w:sz w:val="22"/>
          <w:szCs w:val="22"/>
        </w:rPr>
      </w:pPr>
    </w:p>
    <w:p w:rsidR="00AF67B4" w:rsidRDefault="00AF67B4">
      <w:pPr>
        <w:jc w:val="right"/>
        <w:rPr>
          <w:color w:val="000000"/>
          <w:sz w:val="22"/>
          <w:szCs w:val="22"/>
        </w:rPr>
      </w:pPr>
    </w:p>
    <w:p w:rsidR="00AF67B4" w:rsidRDefault="00AF67B4">
      <w:pPr>
        <w:jc w:val="right"/>
        <w:rPr>
          <w:color w:val="000000"/>
          <w:sz w:val="22"/>
          <w:szCs w:val="22"/>
        </w:rPr>
      </w:pPr>
    </w:p>
    <w:p w:rsidR="00AF67B4" w:rsidRDefault="00AF67B4">
      <w:pPr>
        <w:jc w:val="right"/>
        <w:rPr>
          <w:color w:val="000000"/>
          <w:sz w:val="22"/>
          <w:szCs w:val="22"/>
        </w:rPr>
        <w:sectPr w:rsidR="00AF67B4" w:rsidSect="00AF67B4">
          <w:type w:val="continuous"/>
          <w:pgSz w:w="15840" w:h="12240" w:orient="landscape"/>
          <w:pgMar w:top="720" w:right="720" w:bottom="720" w:left="720" w:header="720" w:footer="720" w:gutter="0"/>
          <w:cols w:space="720"/>
          <w:noEndnote/>
          <w:docGrid w:linePitch="245"/>
        </w:sectPr>
      </w:pP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lastRenderedPageBreak/>
        <w:t>Приложение N 11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 Эстетическому регламенту иных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некапитальных объектов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Таблица цветового оформления нестационарных торговых объектов 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tbl>
      <w:tblPr>
        <w:tblW w:w="0" w:type="auto"/>
        <w:jc w:val="center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400"/>
        <w:gridCol w:w="1185"/>
        <w:gridCol w:w="2610"/>
        <w:gridCol w:w="15"/>
      </w:tblGrid>
      <w:tr w:rsidR="00F36037" w:rsidRPr="00AF67B4" w:rsidTr="00AF67B4">
        <w:trPr>
          <w:jc w:val="center"/>
        </w:trPr>
        <w:tc>
          <w:tcPr>
            <w:tcW w:w="5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jc w:val="center"/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Нестационарные торговые объекты </w:t>
            </w:r>
          </w:p>
        </w:tc>
        <w:tc>
          <w:tcPr>
            <w:tcW w:w="381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jc w:val="center"/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Цветовое решение </w:t>
            </w:r>
          </w:p>
        </w:tc>
      </w:tr>
      <w:tr w:rsidR="00F36037" w:rsidRPr="00AF67B4" w:rsidTr="00AF67B4">
        <w:trPr>
          <w:gridAfter w:val="1"/>
          <w:wAfter w:w="15" w:type="dxa"/>
          <w:jc w:val="center"/>
        </w:trPr>
        <w:tc>
          <w:tcPr>
            <w:tcW w:w="5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Модульная секция павильона и киоска раздела 1 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F36037" w:rsidRPr="00AF67B4" w:rsidRDefault="00F42829">
            <w:pPr>
              <w:jc w:val="center"/>
              <w:rPr>
                <w:color w:val="000000"/>
                <w:sz w:val="22"/>
                <w:szCs w:val="22"/>
              </w:rPr>
            </w:pPr>
            <w:r w:rsidRPr="00AF67B4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677B17D5" wp14:editId="784E32DF">
                  <wp:extent cx="614680" cy="17335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17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RAL 7013 или аналог </w:t>
            </w:r>
          </w:p>
        </w:tc>
      </w:tr>
      <w:tr w:rsidR="00F36037" w:rsidRPr="00AF67B4" w:rsidTr="00AF67B4">
        <w:trPr>
          <w:gridAfter w:val="1"/>
          <w:wAfter w:w="15" w:type="dxa"/>
          <w:jc w:val="center"/>
        </w:trPr>
        <w:tc>
          <w:tcPr>
            <w:tcW w:w="5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Модульная секция павильона и киоска раздела 2 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F36037" w:rsidRPr="00AF67B4" w:rsidRDefault="00F42829">
            <w:pPr>
              <w:jc w:val="center"/>
              <w:rPr>
                <w:color w:val="000000"/>
                <w:sz w:val="22"/>
                <w:szCs w:val="22"/>
              </w:rPr>
            </w:pPr>
            <w:r w:rsidRPr="00AF67B4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6B0295D0" wp14:editId="5D3A2FB1">
                  <wp:extent cx="614680" cy="205105"/>
                  <wp:effectExtent l="0" t="0" r="0" b="444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RAL 7013 или аналог </w:t>
            </w:r>
          </w:p>
        </w:tc>
      </w:tr>
      <w:tr w:rsidR="00F36037" w:rsidRPr="00AF67B4" w:rsidTr="00AF67B4">
        <w:trPr>
          <w:gridAfter w:val="1"/>
          <w:wAfter w:w="15" w:type="dxa"/>
          <w:jc w:val="center"/>
        </w:trPr>
        <w:tc>
          <w:tcPr>
            <w:tcW w:w="5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Модульная секция павильона и киоска раздела 3 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F36037" w:rsidRPr="00AF67B4" w:rsidRDefault="00F42829">
            <w:pPr>
              <w:jc w:val="center"/>
              <w:rPr>
                <w:color w:val="000000"/>
                <w:sz w:val="22"/>
                <w:szCs w:val="22"/>
              </w:rPr>
            </w:pPr>
            <w:r w:rsidRPr="00AF67B4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1C447F21" wp14:editId="0ACDE910">
                  <wp:extent cx="614680" cy="205105"/>
                  <wp:effectExtent l="0" t="0" r="0" b="444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RAL 7013 или аналог </w:t>
            </w:r>
          </w:p>
        </w:tc>
      </w:tr>
      <w:tr w:rsidR="00F36037" w:rsidRPr="00AF67B4" w:rsidTr="00AF67B4">
        <w:trPr>
          <w:gridAfter w:val="1"/>
          <w:wAfter w:w="15" w:type="dxa"/>
          <w:jc w:val="center"/>
        </w:trPr>
        <w:tc>
          <w:tcPr>
            <w:tcW w:w="5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Типовой внешний вид киоска раздела 1 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F36037" w:rsidRPr="00AF67B4" w:rsidRDefault="00F42829">
            <w:pPr>
              <w:jc w:val="center"/>
              <w:rPr>
                <w:color w:val="000000"/>
                <w:sz w:val="22"/>
                <w:szCs w:val="22"/>
              </w:rPr>
            </w:pPr>
            <w:r w:rsidRPr="00AF67B4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1872B6A6" wp14:editId="03D5BBC0">
                  <wp:extent cx="614680" cy="17335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17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RAL 7013 или аналог </w:t>
            </w:r>
          </w:p>
        </w:tc>
      </w:tr>
      <w:tr w:rsidR="00F36037" w:rsidRPr="00AF67B4" w:rsidTr="00AF67B4">
        <w:trPr>
          <w:gridAfter w:val="1"/>
          <w:wAfter w:w="15" w:type="dxa"/>
          <w:jc w:val="center"/>
        </w:trPr>
        <w:tc>
          <w:tcPr>
            <w:tcW w:w="5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Типовой внешний вид киоска раздела 2 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F36037" w:rsidRPr="00AF67B4" w:rsidRDefault="00F42829">
            <w:pPr>
              <w:jc w:val="center"/>
              <w:rPr>
                <w:color w:val="000000"/>
                <w:sz w:val="22"/>
                <w:szCs w:val="22"/>
              </w:rPr>
            </w:pPr>
            <w:r w:rsidRPr="00AF67B4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39906621" wp14:editId="73AACE5C">
                  <wp:extent cx="614680" cy="189230"/>
                  <wp:effectExtent l="0" t="0" r="0" b="127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RAL 7013 или аналог </w:t>
            </w:r>
          </w:p>
        </w:tc>
      </w:tr>
      <w:tr w:rsidR="00F36037" w:rsidRPr="00AF67B4" w:rsidTr="00AF67B4">
        <w:trPr>
          <w:gridAfter w:val="1"/>
          <w:wAfter w:w="15" w:type="dxa"/>
          <w:jc w:val="center"/>
        </w:trPr>
        <w:tc>
          <w:tcPr>
            <w:tcW w:w="5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Типовой внешний вид киоска раздела 3 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F36037" w:rsidRPr="00AF67B4" w:rsidRDefault="00F42829">
            <w:pPr>
              <w:jc w:val="center"/>
              <w:rPr>
                <w:color w:val="000000"/>
                <w:sz w:val="22"/>
                <w:szCs w:val="22"/>
              </w:rPr>
            </w:pPr>
            <w:r w:rsidRPr="00AF67B4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7ABB9F79" wp14:editId="0AE1CF22">
                  <wp:extent cx="614680" cy="189230"/>
                  <wp:effectExtent l="0" t="0" r="0" b="127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RAL 7013 или аналог </w:t>
            </w:r>
          </w:p>
        </w:tc>
      </w:tr>
      <w:tr w:rsidR="00F36037" w:rsidRPr="00AF67B4" w:rsidTr="00AF67B4">
        <w:trPr>
          <w:gridAfter w:val="1"/>
          <w:wAfter w:w="15" w:type="dxa"/>
          <w:jc w:val="center"/>
        </w:trPr>
        <w:tc>
          <w:tcPr>
            <w:tcW w:w="540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Типовой внешний вид палаток раздела 1 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</w:tcPr>
          <w:p w:rsidR="00F36037" w:rsidRPr="00AF67B4" w:rsidRDefault="00F42829">
            <w:pPr>
              <w:jc w:val="center"/>
              <w:rPr>
                <w:color w:val="000000"/>
                <w:sz w:val="22"/>
                <w:szCs w:val="22"/>
              </w:rPr>
            </w:pPr>
            <w:r w:rsidRPr="00AF67B4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13D40DAB" wp14:editId="491D0315">
                  <wp:extent cx="614680" cy="189230"/>
                  <wp:effectExtent l="0" t="0" r="0" b="127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RAL 6005 или аналог </w:t>
            </w:r>
          </w:p>
        </w:tc>
      </w:tr>
      <w:tr w:rsidR="00F36037" w:rsidRPr="00AF67B4" w:rsidTr="00AF67B4">
        <w:trPr>
          <w:gridAfter w:val="1"/>
          <w:wAfter w:w="15" w:type="dxa"/>
          <w:jc w:val="center"/>
        </w:trPr>
        <w:tc>
          <w:tcPr>
            <w:tcW w:w="540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F36037" w:rsidRPr="00AF67B4" w:rsidRDefault="00F42829">
            <w:pPr>
              <w:jc w:val="center"/>
              <w:rPr>
                <w:color w:val="000000"/>
                <w:sz w:val="22"/>
                <w:szCs w:val="22"/>
              </w:rPr>
            </w:pPr>
            <w:r w:rsidRPr="00AF67B4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790C0BAD" wp14:editId="5E28DDE3">
                  <wp:extent cx="614680" cy="189230"/>
                  <wp:effectExtent l="0" t="0" r="0" b="127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RAL 1018 или аналог </w:t>
            </w:r>
          </w:p>
        </w:tc>
      </w:tr>
      <w:tr w:rsidR="00F36037" w:rsidRPr="00AF67B4" w:rsidTr="00AF67B4">
        <w:trPr>
          <w:gridAfter w:val="1"/>
          <w:wAfter w:w="15" w:type="dxa"/>
          <w:jc w:val="center"/>
        </w:trPr>
        <w:tc>
          <w:tcPr>
            <w:tcW w:w="540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</w:tcPr>
          <w:p w:rsidR="00F36037" w:rsidRPr="00AF67B4" w:rsidRDefault="00F42829">
            <w:pPr>
              <w:jc w:val="center"/>
              <w:rPr>
                <w:color w:val="000000"/>
                <w:sz w:val="22"/>
                <w:szCs w:val="22"/>
              </w:rPr>
            </w:pPr>
            <w:r w:rsidRPr="00AF67B4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60D538D6" wp14:editId="6EF24EBE">
                  <wp:extent cx="614680" cy="189230"/>
                  <wp:effectExtent l="0" t="0" r="0" b="127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RAL 7031 или аналог </w:t>
            </w:r>
          </w:p>
        </w:tc>
      </w:tr>
      <w:tr w:rsidR="00F36037" w:rsidRPr="00AF67B4" w:rsidTr="00AF67B4">
        <w:trPr>
          <w:gridAfter w:val="1"/>
          <w:wAfter w:w="15" w:type="dxa"/>
          <w:jc w:val="center"/>
        </w:trPr>
        <w:tc>
          <w:tcPr>
            <w:tcW w:w="540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Типовой внешний вид палаток раздела 2 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</w:tcPr>
          <w:p w:rsidR="00F36037" w:rsidRPr="00AF67B4" w:rsidRDefault="00F42829">
            <w:pPr>
              <w:jc w:val="center"/>
              <w:rPr>
                <w:color w:val="000000"/>
                <w:sz w:val="22"/>
                <w:szCs w:val="22"/>
              </w:rPr>
            </w:pPr>
            <w:r w:rsidRPr="00AF67B4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60C3C988" wp14:editId="52173FA5">
                  <wp:extent cx="614680" cy="189230"/>
                  <wp:effectExtent l="0" t="0" r="0" b="127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RAL 6005 или аналог </w:t>
            </w:r>
          </w:p>
        </w:tc>
      </w:tr>
      <w:tr w:rsidR="00F36037" w:rsidRPr="00AF67B4" w:rsidTr="00AF67B4">
        <w:trPr>
          <w:gridAfter w:val="1"/>
          <w:wAfter w:w="15" w:type="dxa"/>
          <w:jc w:val="center"/>
        </w:trPr>
        <w:tc>
          <w:tcPr>
            <w:tcW w:w="540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F36037" w:rsidRPr="00AF67B4" w:rsidRDefault="00F42829">
            <w:pPr>
              <w:jc w:val="center"/>
              <w:rPr>
                <w:color w:val="000000"/>
                <w:sz w:val="22"/>
                <w:szCs w:val="22"/>
              </w:rPr>
            </w:pPr>
            <w:r w:rsidRPr="00AF67B4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60F18397" wp14:editId="2C523237">
                  <wp:extent cx="614680" cy="189230"/>
                  <wp:effectExtent l="0" t="0" r="0" b="127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RAL 1018 или аналог </w:t>
            </w:r>
          </w:p>
        </w:tc>
      </w:tr>
      <w:tr w:rsidR="00F36037" w:rsidRPr="00AF67B4" w:rsidTr="00AF67B4">
        <w:trPr>
          <w:gridAfter w:val="1"/>
          <w:wAfter w:w="15" w:type="dxa"/>
          <w:jc w:val="center"/>
        </w:trPr>
        <w:tc>
          <w:tcPr>
            <w:tcW w:w="540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</w:tcPr>
          <w:p w:rsidR="00F36037" w:rsidRPr="00AF67B4" w:rsidRDefault="00F42829">
            <w:pPr>
              <w:jc w:val="center"/>
              <w:rPr>
                <w:color w:val="000000"/>
                <w:sz w:val="22"/>
                <w:szCs w:val="22"/>
              </w:rPr>
            </w:pPr>
            <w:r w:rsidRPr="00AF67B4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685D3335" wp14:editId="5A82602E">
                  <wp:extent cx="614680" cy="189230"/>
                  <wp:effectExtent l="0" t="0" r="0" b="127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RAL 7031 или аналог </w:t>
            </w:r>
          </w:p>
        </w:tc>
      </w:tr>
      <w:tr w:rsidR="00F36037" w:rsidRPr="00AF67B4" w:rsidTr="00AF67B4">
        <w:trPr>
          <w:gridAfter w:val="1"/>
          <w:wAfter w:w="15" w:type="dxa"/>
          <w:jc w:val="center"/>
        </w:trPr>
        <w:tc>
          <w:tcPr>
            <w:tcW w:w="5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Типовой внешний вид елочных базаров раздела 1 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F36037" w:rsidRPr="00AF67B4" w:rsidRDefault="00F42829">
            <w:pPr>
              <w:jc w:val="center"/>
              <w:rPr>
                <w:color w:val="000000"/>
                <w:sz w:val="22"/>
                <w:szCs w:val="22"/>
              </w:rPr>
            </w:pPr>
            <w:r w:rsidRPr="00AF67B4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56B09C14" wp14:editId="50607D29">
                  <wp:extent cx="614680" cy="189230"/>
                  <wp:effectExtent l="0" t="0" r="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RAL 7031 или аналог </w:t>
            </w:r>
          </w:p>
        </w:tc>
      </w:tr>
      <w:tr w:rsidR="00F36037" w:rsidRPr="00AF67B4" w:rsidTr="00AF67B4">
        <w:trPr>
          <w:gridAfter w:val="1"/>
          <w:wAfter w:w="15" w:type="dxa"/>
          <w:jc w:val="center"/>
        </w:trPr>
        <w:tc>
          <w:tcPr>
            <w:tcW w:w="5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Типовой внешний вид елочных базаров раздела 2 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F36037" w:rsidRPr="00AF67B4" w:rsidRDefault="00F42829">
            <w:pPr>
              <w:jc w:val="center"/>
              <w:rPr>
                <w:color w:val="000000"/>
                <w:sz w:val="22"/>
                <w:szCs w:val="22"/>
              </w:rPr>
            </w:pPr>
            <w:r w:rsidRPr="00AF67B4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20AE7C31" wp14:editId="60DF25A9">
                  <wp:extent cx="614680" cy="189230"/>
                  <wp:effectExtent l="0" t="0" r="0" b="127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RAL 7031 или аналог </w:t>
            </w:r>
          </w:p>
        </w:tc>
      </w:tr>
      <w:tr w:rsidR="00F36037" w:rsidRPr="00AF67B4" w:rsidTr="00AF67B4">
        <w:trPr>
          <w:gridAfter w:val="1"/>
          <w:wAfter w:w="15" w:type="dxa"/>
          <w:jc w:val="center"/>
        </w:trPr>
        <w:tc>
          <w:tcPr>
            <w:tcW w:w="540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Типовой внешний вид тележек 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</w:tcPr>
          <w:p w:rsidR="00F36037" w:rsidRPr="00AF67B4" w:rsidRDefault="00F42829">
            <w:pPr>
              <w:jc w:val="center"/>
              <w:rPr>
                <w:color w:val="000000"/>
                <w:sz w:val="22"/>
                <w:szCs w:val="22"/>
              </w:rPr>
            </w:pPr>
            <w:r w:rsidRPr="00AF67B4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6BB4B7A2" wp14:editId="0EF5A9A1">
                  <wp:extent cx="614680" cy="189230"/>
                  <wp:effectExtent l="0" t="0" r="0" b="127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RAL 7013 или аналог </w:t>
            </w:r>
          </w:p>
        </w:tc>
      </w:tr>
      <w:tr w:rsidR="00F36037" w:rsidRPr="00AF67B4" w:rsidTr="00AF67B4">
        <w:trPr>
          <w:gridAfter w:val="1"/>
          <w:wAfter w:w="15" w:type="dxa"/>
          <w:jc w:val="center"/>
        </w:trPr>
        <w:tc>
          <w:tcPr>
            <w:tcW w:w="540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</w:tcPr>
          <w:p w:rsidR="00F36037" w:rsidRPr="00AF67B4" w:rsidRDefault="00F42829">
            <w:pPr>
              <w:jc w:val="center"/>
              <w:rPr>
                <w:color w:val="000000"/>
                <w:sz w:val="22"/>
                <w:szCs w:val="22"/>
              </w:rPr>
            </w:pPr>
            <w:r w:rsidRPr="00AF67B4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01794EFF" wp14:editId="25D84762">
                  <wp:extent cx="614680" cy="189230"/>
                  <wp:effectExtent l="0" t="0" r="0" b="127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RAL 1001 или аналог </w:t>
            </w:r>
          </w:p>
        </w:tc>
      </w:tr>
      <w:tr w:rsidR="00F36037" w:rsidRPr="00AF67B4" w:rsidTr="00AF67B4">
        <w:trPr>
          <w:gridAfter w:val="1"/>
          <w:wAfter w:w="15" w:type="dxa"/>
          <w:jc w:val="center"/>
        </w:trPr>
        <w:tc>
          <w:tcPr>
            <w:tcW w:w="540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Типовой внешний вид сооружений в виде натяжных на сборном каркасе тентов для сезонной торговли 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</w:tcPr>
          <w:p w:rsidR="00F36037" w:rsidRPr="00AF67B4" w:rsidRDefault="00F42829">
            <w:pPr>
              <w:jc w:val="center"/>
              <w:rPr>
                <w:color w:val="000000"/>
                <w:sz w:val="22"/>
                <w:szCs w:val="22"/>
              </w:rPr>
            </w:pPr>
            <w:r w:rsidRPr="00AF67B4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75373DA9" wp14:editId="6345778A">
                  <wp:extent cx="614680" cy="189230"/>
                  <wp:effectExtent l="0" t="0" r="0" b="127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RAL 7013 или аналог </w:t>
            </w:r>
          </w:p>
        </w:tc>
      </w:tr>
      <w:tr w:rsidR="00F36037" w:rsidRPr="00AF67B4" w:rsidTr="00AF67B4">
        <w:trPr>
          <w:gridAfter w:val="1"/>
          <w:wAfter w:w="15" w:type="dxa"/>
          <w:jc w:val="center"/>
        </w:trPr>
        <w:tc>
          <w:tcPr>
            <w:tcW w:w="540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F36037" w:rsidRPr="00AF67B4" w:rsidRDefault="00F42829">
            <w:pPr>
              <w:jc w:val="center"/>
              <w:rPr>
                <w:color w:val="000000"/>
                <w:sz w:val="22"/>
                <w:szCs w:val="22"/>
              </w:rPr>
            </w:pPr>
            <w:r w:rsidRPr="00AF67B4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7B07C404" wp14:editId="73F7DA51">
                  <wp:extent cx="614680" cy="189230"/>
                  <wp:effectExtent l="0" t="0" r="0" b="127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RAL 1001 или аналог </w:t>
            </w:r>
          </w:p>
        </w:tc>
      </w:tr>
      <w:tr w:rsidR="00F36037" w:rsidRPr="00AF67B4" w:rsidTr="00AF67B4">
        <w:trPr>
          <w:gridAfter w:val="1"/>
          <w:wAfter w:w="15" w:type="dxa"/>
          <w:jc w:val="center"/>
        </w:trPr>
        <w:tc>
          <w:tcPr>
            <w:tcW w:w="540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</w:tcPr>
          <w:p w:rsidR="00F36037" w:rsidRPr="00AF67B4" w:rsidRDefault="00F42829">
            <w:pPr>
              <w:jc w:val="center"/>
              <w:rPr>
                <w:color w:val="000000"/>
                <w:sz w:val="22"/>
                <w:szCs w:val="22"/>
              </w:rPr>
            </w:pPr>
            <w:r w:rsidRPr="00AF67B4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067F41DA" wp14:editId="5B0DF560">
                  <wp:extent cx="614680" cy="189230"/>
                  <wp:effectExtent l="0" t="0" r="0" b="127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RAL 3011 или аналог </w:t>
            </w:r>
          </w:p>
        </w:tc>
      </w:tr>
      <w:tr w:rsidR="00F36037" w:rsidRPr="00AF67B4" w:rsidTr="00AF67B4">
        <w:trPr>
          <w:gridAfter w:val="1"/>
          <w:wAfter w:w="15" w:type="dxa"/>
          <w:jc w:val="center"/>
        </w:trPr>
        <w:tc>
          <w:tcPr>
            <w:tcW w:w="540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>Типовой внешний вид временных сооружений, предназначенных для размещения сезонных объектов общественного питания, в том числе с выносными столиками, для размещения летних кафе</w:t>
            </w:r>
          </w:p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Разделы 1-6 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</w:tcPr>
          <w:p w:rsidR="00F36037" w:rsidRPr="00AF67B4" w:rsidRDefault="00F42829">
            <w:pPr>
              <w:jc w:val="center"/>
              <w:rPr>
                <w:color w:val="000000"/>
                <w:sz w:val="22"/>
                <w:szCs w:val="22"/>
              </w:rPr>
            </w:pPr>
            <w:r w:rsidRPr="00AF67B4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418B5205" wp14:editId="18D6641C">
                  <wp:extent cx="614680" cy="189230"/>
                  <wp:effectExtent l="0" t="0" r="0" b="127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RAL 1001 или аналог </w:t>
            </w:r>
          </w:p>
        </w:tc>
      </w:tr>
      <w:tr w:rsidR="00F36037" w:rsidRPr="00AF67B4" w:rsidTr="00AF67B4">
        <w:trPr>
          <w:gridAfter w:val="1"/>
          <w:wAfter w:w="15" w:type="dxa"/>
          <w:jc w:val="center"/>
        </w:trPr>
        <w:tc>
          <w:tcPr>
            <w:tcW w:w="540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</w:tcPr>
          <w:p w:rsidR="00F36037" w:rsidRPr="00AF67B4" w:rsidRDefault="00F42829">
            <w:pPr>
              <w:jc w:val="center"/>
              <w:rPr>
                <w:color w:val="000000"/>
                <w:sz w:val="22"/>
                <w:szCs w:val="22"/>
              </w:rPr>
            </w:pPr>
            <w:r w:rsidRPr="00AF67B4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73CB34ED" wp14:editId="55BA4F20">
                  <wp:extent cx="614680" cy="205105"/>
                  <wp:effectExtent l="0" t="0" r="0" b="444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RAL 3011 или аналог </w:t>
            </w:r>
          </w:p>
        </w:tc>
      </w:tr>
      <w:tr w:rsidR="00F36037" w:rsidRPr="00AF67B4" w:rsidTr="00AF67B4">
        <w:trPr>
          <w:gridAfter w:val="1"/>
          <w:wAfter w:w="15" w:type="dxa"/>
          <w:jc w:val="center"/>
        </w:trPr>
        <w:tc>
          <w:tcPr>
            <w:tcW w:w="5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Типовой внешний вид передвижного средства развозной торговли 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F36037" w:rsidRPr="00AF67B4" w:rsidRDefault="00F42829">
            <w:pPr>
              <w:jc w:val="center"/>
              <w:rPr>
                <w:color w:val="000000"/>
                <w:sz w:val="22"/>
                <w:szCs w:val="22"/>
              </w:rPr>
            </w:pPr>
            <w:r w:rsidRPr="00AF67B4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677A4F2C" wp14:editId="5A3C2EF0">
                  <wp:extent cx="614680" cy="205105"/>
                  <wp:effectExtent l="0" t="0" r="0" b="444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RAL 1015 или аналог </w:t>
            </w:r>
          </w:p>
        </w:tc>
      </w:tr>
      <w:tr w:rsidR="00F36037" w:rsidRPr="00AF67B4" w:rsidTr="00AF67B4">
        <w:trPr>
          <w:gridAfter w:val="1"/>
          <w:wAfter w:w="15" w:type="dxa"/>
          <w:jc w:val="center"/>
        </w:trPr>
        <w:tc>
          <w:tcPr>
            <w:tcW w:w="540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Типовой внешний вид информационно-торгового мобильного объекта 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</w:tcPr>
          <w:p w:rsidR="00F36037" w:rsidRPr="00AF67B4" w:rsidRDefault="00F42829">
            <w:pPr>
              <w:jc w:val="center"/>
              <w:rPr>
                <w:color w:val="000000"/>
                <w:sz w:val="22"/>
                <w:szCs w:val="22"/>
              </w:rPr>
            </w:pPr>
            <w:r w:rsidRPr="00AF67B4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51E192DD" wp14:editId="55CC14C8">
                  <wp:extent cx="614680" cy="205105"/>
                  <wp:effectExtent l="0" t="0" r="0" b="444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RAL 7013 или аналог </w:t>
            </w:r>
          </w:p>
        </w:tc>
      </w:tr>
      <w:tr w:rsidR="00F36037" w:rsidRPr="00AF67B4" w:rsidTr="00AF67B4">
        <w:trPr>
          <w:gridAfter w:val="1"/>
          <w:wAfter w:w="15" w:type="dxa"/>
          <w:jc w:val="center"/>
        </w:trPr>
        <w:tc>
          <w:tcPr>
            <w:tcW w:w="540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F36037" w:rsidRPr="00AF67B4" w:rsidRDefault="00F42829">
            <w:pPr>
              <w:jc w:val="center"/>
              <w:rPr>
                <w:color w:val="000000"/>
                <w:sz w:val="22"/>
                <w:szCs w:val="22"/>
              </w:rPr>
            </w:pPr>
            <w:r w:rsidRPr="00AF67B4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11461719" wp14:editId="48F0D6C6">
                  <wp:extent cx="614680" cy="205105"/>
                  <wp:effectExtent l="0" t="0" r="0" b="444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RAL 1001 или аналог </w:t>
            </w:r>
          </w:p>
        </w:tc>
      </w:tr>
      <w:tr w:rsidR="00F36037" w:rsidRPr="00AF67B4" w:rsidTr="00AF67B4">
        <w:trPr>
          <w:gridAfter w:val="1"/>
          <w:wAfter w:w="15" w:type="dxa"/>
          <w:jc w:val="center"/>
        </w:trPr>
        <w:tc>
          <w:tcPr>
            <w:tcW w:w="540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</w:tcPr>
          <w:p w:rsidR="00F36037" w:rsidRPr="00AF67B4" w:rsidRDefault="00F42829">
            <w:pPr>
              <w:jc w:val="center"/>
              <w:rPr>
                <w:color w:val="000000"/>
                <w:sz w:val="22"/>
                <w:szCs w:val="22"/>
              </w:rPr>
            </w:pPr>
            <w:r w:rsidRPr="00AF67B4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5A6C48B6" wp14:editId="072E65B5">
                  <wp:extent cx="614680" cy="205105"/>
                  <wp:effectExtent l="0" t="0" r="0" b="444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RAL 3011 или аналог </w:t>
            </w:r>
          </w:p>
        </w:tc>
      </w:tr>
      <w:tr w:rsidR="00F36037" w:rsidRPr="00AF67B4" w:rsidTr="00AF67B4">
        <w:trPr>
          <w:gridAfter w:val="1"/>
          <w:wAfter w:w="15" w:type="dxa"/>
          <w:jc w:val="center"/>
        </w:trPr>
        <w:tc>
          <w:tcPr>
            <w:tcW w:w="540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Типовой внешний вид газетного модуля 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</w:tcPr>
          <w:p w:rsidR="00F36037" w:rsidRPr="00AF67B4" w:rsidRDefault="00F42829">
            <w:pPr>
              <w:jc w:val="center"/>
              <w:rPr>
                <w:color w:val="000000"/>
                <w:sz w:val="22"/>
                <w:szCs w:val="22"/>
              </w:rPr>
            </w:pPr>
            <w:r w:rsidRPr="00AF67B4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1A008056" wp14:editId="204823D5">
                  <wp:extent cx="614680" cy="17335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17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RAL 7013 или аналог </w:t>
            </w:r>
          </w:p>
        </w:tc>
      </w:tr>
      <w:tr w:rsidR="00F36037" w:rsidRPr="00AF67B4" w:rsidTr="00AF67B4">
        <w:trPr>
          <w:gridAfter w:val="1"/>
          <w:wAfter w:w="15" w:type="dxa"/>
          <w:jc w:val="center"/>
        </w:trPr>
        <w:tc>
          <w:tcPr>
            <w:tcW w:w="540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42829">
            <w:pPr>
              <w:jc w:val="center"/>
              <w:rPr>
                <w:color w:val="000000"/>
                <w:sz w:val="22"/>
                <w:szCs w:val="22"/>
              </w:rPr>
            </w:pPr>
            <w:r w:rsidRPr="00AF67B4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0A936BE3" wp14:editId="549E9E35">
                  <wp:extent cx="614680" cy="17335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17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037" w:rsidRPr="00AF67B4" w:rsidRDefault="00F36037">
            <w:pPr>
              <w:rPr>
                <w:color w:val="000000"/>
                <w:sz w:val="22"/>
                <w:szCs w:val="22"/>
              </w:rPr>
            </w:pPr>
            <w:r w:rsidRPr="00AF67B4">
              <w:rPr>
                <w:color w:val="000000"/>
                <w:sz w:val="22"/>
                <w:szCs w:val="22"/>
              </w:rPr>
              <w:t xml:space="preserve">RAL 1001 или аналог </w:t>
            </w:r>
          </w:p>
        </w:tc>
      </w:tr>
    </w:tbl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 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     </w:t>
      </w:r>
    </w:p>
    <w:p w:rsidR="00F41CB4" w:rsidRPr="00AF67B4" w:rsidRDefault="00F41CB4">
      <w:pPr>
        <w:jc w:val="right"/>
        <w:rPr>
          <w:color w:val="000000"/>
          <w:sz w:val="22"/>
          <w:szCs w:val="22"/>
        </w:rPr>
      </w:pPr>
    </w:p>
    <w:p w:rsidR="00F41CB4" w:rsidRPr="00AF67B4" w:rsidRDefault="00F41CB4">
      <w:pPr>
        <w:jc w:val="right"/>
        <w:rPr>
          <w:color w:val="000000"/>
          <w:sz w:val="22"/>
          <w:szCs w:val="22"/>
        </w:rPr>
      </w:pPr>
    </w:p>
    <w:p w:rsidR="00F41CB4" w:rsidRPr="00AF67B4" w:rsidRDefault="00F41CB4">
      <w:pPr>
        <w:jc w:val="right"/>
        <w:rPr>
          <w:color w:val="000000"/>
          <w:sz w:val="22"/>
          <w:szCs w:val="22"/>
        </w:rPr>
      </w:pP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lastRenderedPageBreak/>
        <w:t>Приложение N 8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к Правилам благоустройства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территории Санкт-Петербурга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в части, касающейся </w:t>
      </w:r>
      <w:proofErr w:type="gramStart"/>
      <w:r w:rsidRPr="00AF67B4">
        <w:rPr>
          <w:color w:val="000000"/>
          <w:sz w:val="22"/>
          <w:szCs w:val="22"/>
        </w:rPr>
        <w:t>эстетических</w:t>
      </w:r>
      <w:proofErr w:type="gramEnd"/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регламентов объектов благоустройства</w:t>
      </w:r>
    </w:p>
    <w:p w:rsidR="00F36037" w:rsidRPr="00AF67B4" w:rsidRDefault="00F36037">
      <w:pPr>
        <w:jc w:val="right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и элементов благоустройства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 xml:space="preserve">     Эстетический регламент</w:t>
      </w: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>элементов оформления, включая элементы оформления Санкт-Петербурга к мероприятиям, в том числе культурно-массовым мероприятиям, городского, всероссийского и международного значения</w:t>
      </w:r>
    </w:p>
    <w:p w:rsidR="00F36037" w:rsidRPr="00AF67B4" w:rsidRDefault="00F36037">
      <w:pPr>
        <w:pStyle w:val="Heading"/>
        <w:jc w:val="center"/>
        <w:rPr>
          <w:color w:val="000000"/>
        </w:rPr>
      </w:pPr>
    </w:p>
    <w:p w:rsidR="00F36037" w:rsidRPr="00AF67B4" w:rsidRDefault="00F36037">
      <w:pPr>
        <w:pStyle w:val="Heading"/>
        <w:jc w:val="center"/>
        <w:rPr>
          <w:color w:val="000000"/>
        </w:rPr>
      </w:pPr>
      <w:r w:rsidRPr="00AF67B4">
        <w:rPr>
          <w:color w:val="000000"/>
        </w:rPr>
        <w:t>1. Требования к внешнему виду и размещению элементов оформления, включая элементы оформления Санкт-Петербурга к мероприятиям, в том числе культурно-массовым мероприятиям, городского, всероссийского и международного значения (далее - элементы)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1.1. Элементы выполняют функции: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светового оформления, сопровождения, иллюстрации праздника в соответствии с его назначением;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определения основного направления оформляемого мероприятия, его главных и дополняющих элементов.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 Внешний вид элементов и их размещение должны: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1.2.1. Стилистически соответствовать архитектурному облику Санкт-Петербурга.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1.2.2. Визуально интегрироваться в планировочную организацию территории Санкт-Петербурга, соответствовать планировочной структуре территории Санкт-Петербурга.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1.2.3. Соответствовать зонированию территории Санкт-Петербурга: исторический центр, районы неисторического центра, районы смешанной застройки, природный ландшафт.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1.2.4. Соответствовать пространственному сценарию, воспринимаемому от въездов в Санкт-Петербург к историческому центру.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1.3. Элементы должны размещаться комплексно, образуя каркас оформления Санкт-Петербурга к мероприятиям городского, всероссийского и международного значения.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1.4. Каркас элементов состоит из главных магистралей и площадей, набережных, водных пространств, пешеходных зон, зон станций метро и вокзалов, территорий объектов культуры, спорта, туризма, отдыха.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 xml:space="preserve">1.5. При размещении подсветки в качестве элементов допустимо использование </w:t>
      </w:r>
      <w:proofErr w:type="spellStart"/>
      <w:r w:rsidRPr="00AF67B4">
        <w:rPr>
          <w:color w:val="000000"/>
          <w:sz w:val="22"/>
          <w:szCs w:val="22"/>
        </w:rPr>
        <w:t>светоживописи</w:t>
      </w:r>
      <w:proofErr w:type="spellEnd"/>
      <w:r w:rsidRPr="00AF67B4">
        <w:rPr>
          <w:color w:val="000000"/>
          <w:sz w:val="22"/>
          <w:szCs w:val="22"/>
        </w:rPr>
        <w:t xml:space="preserve">, </w:t>
      </w:r>
      <w:proofErr w:type="gramStart"/>
      <w:r w:rsidRPr="00AF67B4">
        <w:rPr>
          <w:color w:val="000000"/>
          <w:sz w:val="22"/>
          <w:szCs w:val="22"/>
        </w:rPr>
        <w:t>слайд-подсветки</w:t>
      </w:r>
      <w:proofErr w:type="gramEnd"/>
      <w:r w:rsidRPr="00AF67B4">
        <w:rPr>
          <w:color w:val="000000"/>
          <w:sz w:val="22"/>
          <w:szCs w:val="22"/>
        </w:rPr>
        <w:t>, лазерной подсветки, голографических эффектов, мобильной подсветки.</w:t>
      </w: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</w:p>
    <w:p w:rsidR="00F36037" w:rsidRPr="00AF67B4" w:rsidRDefault="00F36037">
      <w:pPr>
        <w:ind w:firstLine="225"/>
        <w:jc w:val="both"/>
        <w:rPr>
          <w:color w:val="000000"/>
          <w:sz w:val="22"/>
          <w:szCs w:val="22"/>
        </w:rPr>
      </w:pPr>
      <w:r w:rsidRPr="00AF67B4">
        <w:rPr>
          <w:color w:val="000000"/>
          <w:sz w:val="22"/>
          <w:szCs w:val="22"/>
        </w:rPr>
        <w:t>1.6. Для размещения подсветки в качестве элементов возможно использование опор освещения.</w:t>
      </w:r>
      <w:bookmarkStart w:id="0" w:name="_GoBack"/>
      <w:bookmarkEnd w:id="0"/>
    </w:p>
    <w:sectPr w:rsidR="00F36037" w:rsidRPr="00AF67B4" w:rsidSect="00AF67B4">
      <w:type w:val="continuous"/>
      <w:pgSz w:w="12240" w:h="15840"/>
      <w:pgMar w:top="720" w:right="720" w:bottom="720" w:left="720" w:header="720" w:footer="720" w:gutter="0"/>
      <w:cols w:space="720"/>
      <w:noEndnote/>
      <w:docGrid w:linePitch="2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CB4"/>
    <w:rsid w:val="00AF67B4"/>
    <w:rsid w:val="00F36037"/>
    <w:rsid w:val="00F41CB4"/>
    <w:rsid w:val="00F42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</w:rPr>
  </w:style>
  <w:style w:type="paragraph" w:customStyle="1" w:styleId="Preformat">
    <w:name w:val="Pre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3">
    <w:name w:val="Hyperlink"/>
    <w:basedOn w:val="a0"/>
    <w:uiPriority w:val="99"/>
    <w:rPr>
      <w:rFonts w:ascii="Arial" w:hAnsi="Arial" w:cs="Arial"/>
      <w:sz w:val="20"/>
      <w:szCs w:val="20"/>
      <w:u w:val="single"/>
    </w:rPr>
  </w:style>
  <w:style w:type="paragraph" w:customStyle="1" w:styleId="Context">
    <w:name w:val="Con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F67B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67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</w:rPr>
  </w:style>
  <w:style w:type="paragraph" w:customStyle="1" w:styleId="Preformat">
    <w:name w:val="Pre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3">
    <w:name w:val="Hyperlink"/>
    <w:basedOn w:val="a0"/>
    <w:uiPriority w:val="99"/>
    <w:rPr>
      <w:rFonts w:ascii="Arial" w:hAnsi="Arial" w:cs="Arial"/>
      <w:sz w:val="20"/>
      <w:szCs w:val="20"/>
      <w:u w:val="single"/>
    </w:rPr>
  </w:style>
  <w:style w:type="paragraph" w:customStyle="1" w:styleId="Context">
    <w:name w:val="Con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F67B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67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64</Pages>
  <Words>13967</Words>
  <Characters>79618</Characters>
  <Application>Microsoft Office Word</Application>
  <DocSecurity>0</DocSecurity>
  <Lines>663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93399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e.gorshenina</dc:creator>
  <cp:lastModifiedBy>e.gorshenina</cp:lastModifiedBy>
  <cp:revision>3</cp:revision>
  <dcterms:created xsi:type="dcterms:W3CDTF">2018-05-14T08:55:00Z</dcterms:created>
  <dcterms:modified xsi:type="dcterms:W3CDTF">2018-05-14T09:06:00Z</dcterms:modified>
</cp:coreProperties>
</file>